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EE3A7" w14:textId="5C5FA469" w:rsidR="00A81582" w:rsidRPr="007936A6" w:rsidRDefault="00A81582" w:rsidP="00A81582">
      <w:pPr>
        <w:jc w:val="center"/>
        <w:outlineLvl w:val="1"/>
        <w:rPr>
          <w:rFonts w:ascii="Times New Roman" w:hAnsi="Times New Roman" w:cs="Times New Roman"/>
          <w:b/>
          <w:bCs/>
          <w:i/>
          <w:iCs/>
          <w:sz w:val="32"/>
          <w:szCs w:val="32"/>
        </w:rPr>
      </w:pPr>
      <w:r w:rsidRPr="007936A6">
        <w:rPr>
          <w:rFonts w:ascii="Times New Roman" w:hAnsi="Times New Roman" w:cs="Times New Roman"/>
          <w:b/>
          <w:bCs/>
          <w:i/>
          <w:iCs/>
          <w:sz w:val="32"/>
          <w:szCs w:val="32"/>
        </w:rPr>
        <w:t>Appendix</w:t>
      </w:r>
    </w:p>
    <w:p w14:paraId="3A361721" w14:textId="37D7D0B8" w:rsidR="003C6FB9" w:rsidRPr="007936A6" w:rsidRDefault="000A47B5" w:rsidP="003C6FB9">
      <w:pPr>
        <w:outlineLvl w:val="1"/>
        <w:rPr>
          <w:rFonts w:ascii="Times New Roman" w:hAnsi="Times New Roman" w:cs="Times New Roman"/>
          <w:b/>
          <w:bCs/>
          <w:i/>
          <w:iCs/>
        </w:rPr>
      </w:pPr>
      <w:r w:rsidRPr="007936A6">
        <w:rPr>
          <w:rFonts w:ascii="Times New Roman" w:hAnsi="Times New Roman" w:cs="Times New Roman" w:hint="eastAsia"/>
          <w:b/>
          <w:bCs/>
          <w:i/>
          <w:iCs/>
        </w:rPr>
        <w:t>1</w:t>
      </w:r>
      <w:r w:rsidR="003C6FB9" w:rsidRPr="007936A6">
        <w:rPr>
          <w:rFonts w:ascii="Times New Roman" w:hAnsi="Times New Roman" w:cs="Times New Roman"/>
          <w:b/>
          <w:bCs/>
          <w:i/>
          <w:iCs/>
        </w:rPr>
        <w:t xml:space="preserve"> Variable definition</w:t>
      </w:r>
    </w:p>
    <w:p w14:paraId="48222E8B" w14:textId="3F26528D" w:rsidR="003C6FB9" w:rsidRPr="007936A6" w:rsidRDefault="000A47B5" w:rsidP="003C6FB9">
      <w:pPr>
        <w:outlineLvl w:val="2"/>
        <w:rPr>
          <w:rFonts w:ascii="Times New Roman" w:hAnsi="Times New Roman" w:cs="Times New Roman"/>
          <w:b/>
          <w:bCs/>
          <w:i/>
          <w:iCs/>
        </w:rPr>
      </w:pPr>
      <w:r w:rsidRPr="007936A6">
        <w:rPr>
          <w:rFonts w:ascii="Times New Roman" w:hAnsi="Times New Roman" w:cs="Times New Roman" w:hint="eastAsia"/>
          <w:b/>
          <w:bCs/>
          <w:i/>
          <w:iCs/>
        </w:rPr>
        <w:t>1</w:t>
      </w:r>
      <w:r w:rsidR="003C6FB9" w:rsidRPr="007936A6">
        <w:rPr>
          <w:rFonts w:ascii="Times New Roman" w:hAnsi="Times New Roman" w:cs="Times New Roman"/>
          <w:b/>
          <w:bCs/>
          <w:i/>
          <w:iCs/>
        </w:rPr>
        <w:t>.1 Explained variables</w:t>
      </w:r>
    </w:p>
    <w:p w14:paraId="62641146" w14:textId="77777777" w:rsidR="00A81582" w:rsidRDefault="00A81582" w:rsidP="00A81582">
      <w:pPr>
        <w:ind w:firstLineChars="200" w:firstLine="420"/>
        <w:rPr>
          <w:rFonts w:ascii="Times New Roman" w:hAnsi="Times New Roman" w:cs="Times New Roman"/>
        </w:rPr>
      </w:pPr>
      <w:r>
        <w:rPr>
          <w:rFonts w:ascii="Times New Roman" w:hAnsi="Times New Roman" w:cs="Times New Roman"/>
        </w:rPr>
        <w:t>T</w:t>
      </w:r>
      <w:r w:rsidRPr="008246B9">
        <w:rPr>
          <w:rFonts w:ascii="Times New Roman" w:hAnsi="Times New Roman" w:cs="Times New Roman"/>
        </w:rPr>
        <w:t>his paper constructs an evaluation index system for HED in the YREB from five aspects: "innovation, coordination, green, openness and sharing" (see Table 1). Referring to the research method of Ma et al.</w:t>
      </w:r>
      <w:r>
        <w:rPr>
          <w:rFonts w:ascii="Times New Roman" w:hAnsi="Times New Roman" w:cs="Times New Roman"/>
        </w:rPr>
        <w:t xml:space="preserve"> </w:t>
      </w:r>
      <w:r w:rsidRPr="008246B9">
        <w:rPr>
          <w:rFonts w:ascii="Times New Roman" w:hAnsi="Times New Roman" w:cs="Times New Roman"/>
        </w:rPr>
        <w:t>(2023), we utilize the entropy weight TOPSIS method to measure the level of HED in each city.</w:t>
      </w:r>
      <w:r>
        <w:rPr>
          <w:rFonts w:ascii="Times New Roman" w:hAnsi="Times New Roman" w:cs="Times New Roman"/>
        </w:rPr>
        <w:t xml:space="preserve"> </w:t>
      </w:r>
    </w:p>
    <w:p w14:paraId="33F78937" w14:textId="77777777" w:rsidR="00A81582" w:rsidRPr="008246B9" w:rsidRDefault="00A81582" w:rsidP="00A81582">
      <w:pPr>
        <w:rPr>
          <w:rFonts w:ascii="Times New Roman" w:hAnsi="Times New Roman" w:cs="Times New Roman"/>
        </w:rPr>
      </w:pPr>
    </w:p>
    <w:p w14:paraId="3A57D434" w14:textId="77777777" w:rsidR="00A81582" w:rsidRPr="00574185" w:rsidRDefault="00A81582" w:rsidP="00A81582">
      <w:pPr>
        <w:rPr>
          <w:rFonts w:ascii="Times New Roman" w:hAnsi="Times New Roman" w:cs="Times New Roman"/>
          <w:szCs w:val="21"/>
        </w:rPr>
      </w:pPr>
      <w:r w:rsidRPr="00574185">
        <w:rPr>
          <w:rFonts w:ascii="Times New Roman" w:hAnsi="Times New Roman" w:cs="Times New Roman"/>
          <w:b/>
          <w:bCs/>
          <w:szCs w:val="21"/>
        </w:rPr>
        <w:t>Table 1.</w:t>
      </w:r>
      <w:r w:rsidRPr="00574185">
        <w:rPr>
          <w:rFonts w:ascii="Times New Roman" w:hAnsi="Times New Roman" w:cs="Times New Roman"/>
          <w:szCs w:val="21"/>
        </w:rPr>
        <w:t xml:space="preserve"> Evaluation index system of HED in the YREB.</w:t>
      </w:r>
    </w:p>
    <w:tbl>
      <w:tblPr>
        <w:tblW w:w="8910" w:type="dxa"/>
        <w:jc w:val="center"/>
        <w:tblBorders>
          <w:top w:val="single" w:sz="4" w:space="0" w:color="auto"/>
          <w:bottom w:val="single" w:sz="4" w:space="0" w:color="auto"/>
        </w:tblBorders>
        <w:tblLayout w:type="fixed"/>
        <w:tblLook w:val="04A0" w:firstRow="1" w:lastRow="0" w:firstColumn="1" w:lastColumn="0" w:noHBand="0" w:noVBand="1"/>
      </w:tblPr>
      <w:tblGrid>
        <w:gridCol w:w="1260"/>
        <w:gridCol w:w="5040"/>
        <w:gridCol w:w="1710"/>
        <w:gridCol w:w="900"/>
      </w:tblGrid>
      <w:tr w:rsidR="00A81582" w:rsidRPr="00502B21" w14:paraId="49A98D2E" w14:textId="77777777" w:rsidTr="00A679F7">
        <w:trPr>
          <w:trHeight w:val="299"/>
          <w:jc w:val="center"/>
        </w:trPr>
        <w:tc>
          <w:tcPr>
            <w:tcW w:w="1260" w:type="dxa"/>
            <w:tcBorders>
              <w:top w:val="single" w:sz="4" w:space="0" w:color="auto"/>
              <w:bottom w:val="single" w:sz="4" w:space="0" w:color="auto"/>
            </w:tcBorders>
          </w:tcPr>
          <w:p w14:paraId="5674A4D5" w14:textId="77777777" w:rsidR="00A81582" w:rsidRPr="00574185" w:rsidRDefault="00A81582" w:rsidP="00A679F7">
            <w:pPr>
              <w:snapToGrid w:val="0"/>
              <w:jc w:val="center"/>
              <w:rPr>
                <w:rFonts w:ascii="Times New Roman" w:hAnsi="Times New Roman" w:cs="Times New Roman"/>
                <w:sz w:val="18"/>
                <w:szCs w:val="18"/>
              </w:rPr>
            </w:pPr>
            <w:r w:rsidRPr="00574185">
              <w:rPr>
                <w:rFonts w:ascii="Times New Roman" w:hAnsi="Times New Roman" w:cs="Times New Roman"/>
                <w:sz w:val="18"/>
                <w:szCs w:val="18"/>
              </w:rPr>
              <w:t>Primary index</w:t>
            </w:r>
          </w:p>
        </w:tc>
        <w:tc>
          <w:tcPr>
            <w:tcW w:w="5040" w:type="dxa"/>
            <w:tcBorders>
              <w:top w:val="single" w:sz="4" w:space="0" w:color="auto"/>
              <w:bottom w:val="single" w:sz="4" w:space="0" w:color="auto"/>
            </w:tcBorders>
          </w:tcPr>
          <w:p w14:paraId="53E46654" w14:textId="77777777" w:rsidR="00A81582" w:rsidRPr="00574185" w:rsidRDefault="00A81582" w:rsidP="00A679F7">
            <w:pPr>
              <w:snapToGrid w:val="0"/>
              <w:jc w:val="center"/>
              <w:textAlignment w:val="center"/>
              <w:rPr>
                <w:rFonts w:ascii="Times New Roman" w:hAnsi="Times New Roman" w:cs="Times New Roman"/>
                <w:sz w:val="18"/>
                <w:szCs w:val="18"/>
              </w:rPr>
            </w:pPr>
            <w:r w:rsidRPr="00574185">
              <w:rPr>
                <w:rFonts w:ascii="Times New Roman" w:hAnsi="Times New Roman" w:cs="Times New Roman"/>
                <w:sz w:val="18"/>
                <w:szCs w:val="18"/>
              </w:rPr>
              <w:t>Secondary index</w:t>
            </w:r>
          </w:p>
        </w:tc>
        <w:tc>
          <w:tcPr>
            <w:tcW w:w="1710" w:type="dxa"/>
            <w:tcBorders>
              <w:top w:val="single" w:sz="4" w:space="0" w:color="auto"/>
              <w:bottom w:val="single" w:sz="4" w:space="0" w:color="auto"/>
            </w:tcBorders>
          </w:tcPr>
          <w:p w14:paraId="7C369461" w14:textId="77777777" w:rsidR="00A81582" w:rsidRPr="00574185" w:rsidRDefault="00A81582" w:rsidP="00A679F7">
            <w:pPr>
              <w:snapToGrid w:val="0"/>
              <w:jc w:val="center"/>
              <w:rPr>
                <w:rFonts w:ascii="Times New Roman" w:hAnsi="Times New Roman" w:cs="Times New Roman"/>
                <w:sz w:val="18"/>
                <w:szCs w:val="18"/>
              </w:rPr>
            </w:pPr>
            <w:r w:rsidRPr="00574185">
              <w:rPr>
                <w:rFonts w:ascii="Times New Roman" w:hAnsi="Times New Roman" w:cs="Times New Roman"/>
                <w:sz w:val="18"/>
                <w:szCs w:val="18"/>
              </w:rPr>
              <w:t>Unit</w:t>
            </w:r>
          </w:p>
        </w:tc>
        <w:tc>
          <w:tcPr>
            <w:tcW w:w="900" w:type="dxa"/>
            <w:tcBorders>
              <w:top w:val="single" w:sz="4" w:space="0" w:color="auto"/>
              <w:bottom w:val="single" w:sz="4" w:space="0" w:color="auto"/>
            </w:tcBorders>
          </w:tcPr>
          <w:p w14:paraId="54E754B5" w14:textId="77777777" w:rsidR="00A81582" w:rsidRPr="00574185" w:rsidRDefault="00A81582" w:rsidP="00A679F7">
            <w:pPr>
              <w:snapToGrid w:val="0"/>
              <w:jc w:val="center"/>
              <w:rPr>
                <w:rFonts w:ascii="Times New Roman" w:hAnsi="Times New Roman" w:cs="Times New Roman"/>
                <w:sz w:val="18"/>
                <w:szCs w:val="18"/>
              </w:rPr>
            </w:pPr>
            <w:r w:rsidRPr="00574185">
              <w:rPr>
                <w:rFonts w:ascii="Times New Roman" w:hAnsi="Times New Roman" w:cs="Times New Roman"/>
                <w:sz w:val="18"/>
                <w:szCs w:val="18"/>
              </w:rPr>
              <w:t>Attribute</w:t>
            </w:r>
          </w:p>
        </w:tc>
      </w:tr>
      <w:tr w:rsidR="00A81582" w:rsidRPr="00502B21" w14:paraId="4FE73744" w14:textId="77777777" w:rsidTr="00A679F7">
        <w:trPr>
          <w:trHeight w:val="305"/>
          <w:jc w:val="center"/>
        </w:trPr>
        <w:tc>
          <w:tcPr>
            <w:tcW w:w="1260" w:type="dxa"/>
            <w:vMerge w:val="restart"/>
            <w:tcBorders>
              <w:top w:val="single" w:sz="4" w:space="0" w:color="auto"/>
              <w:bottom w:val="nil"/>
            </w:tcBorders>
            <w:vAlign w:val="center"/>
          </w:tcPr>
          <w:p w14:paraId="0899E6FF" w14:textId="77777777" w:rsidR="00A81582" w:rsidRPr="00574185" w:rsidRDefault="00A81582" w:rsidP="00A679F7">
            <w:pPr>
              <w:jc w:val="center"/>
              <w:textAlignment w:val="center"/>
              <w:rPr>
                <w:rFonts w:ascii="Times New Roman" w:hAnsi="Times New Roman" w:cs="Times New Roman"/>
                <w:sz w:val="18"/>
                <w:szCs w:val="18"/>
              </w:rPr>
            </w:pPr>
            <w:r w:rsidRPr="00574185">
              <w:rPr>
                <w:rFonts w:ascii="Times New Roman" w:hAnsi="Times New Roman" w:cs="Times New Roman"/>
                <w:sz w:val="18"/>
                <w:szCs w:val="18"/>
              </w:rPr>
              <w:t>Innovative development</w:t>
            </w:r>
          </w:p>
        </w:tc>
        <w:tc>
          <w:tcPr>
            <w:tcW w:w="5040" w:type="dxa"/>
            <w:tcBorders>
              <w:top w:val="single" w:sz="4" w:space="0" w:color="auto"/>
              <w:bottom w:val="nil"/>
            </w:tcBorders>
          </w:tcPr>
          <w:p w14:paraId="133F6A7B" w14:textId="77777777" w:rsidR="00A81582" w:rsidRPr="00574185" w:rsidRDefault="00A81582" w:rsidP="00A679F7">
            <w:pPr>
              <w:adjustRightInd w:val="0"/>
              <w:jc w:val="left"/>
              <w:textAlignment w:val="center"/>
              <w:rPr>
                <w:rFonts w:ascii="Times New Roman" w:hAnsi="Times New Roman" w:cs="Times New Roman"/>
                <w:sz w:val="18"/>
                <w:szCs w:val="18"/>
              </w:rPr>
            </w:pPr>
            <w:r w:rsidRPr="00574185">
              <w:rPr>
                <w:rFonts w:ascii="Times New Roman" w:hAnsi="Times New Roman" w:cs="Times New Roman"/>
                <w:sz w:val="18"/>
                <w:szCs w:val="18"/>
              </w:rPr>
              <w:t>Proportion of science and technology expenditure in the total fiscal expenditures</w:t>
            </w:r>
          </w:p>
        </w:tc>
        <w:tc>
          <w:tcPr>
            <w:tcW w:w="1710" w:type="dxa"/>
            <w:tcBorders>
              <w:top w:val="single" w:sz="4" w:space="0" w:color="auto"/>
              <w:bottom w:val="nil"/>
            </w:tcBorders>
            <w:vAlign w:val="center"/>
          </w:tcPr>
          <w:p w14:paraId="02E499C0" w14:textId="77777777" w:rsidR="00A81582" w:rsidRPr="00574185" w:rsidRDefault="00A81582" w:rsidP="00A679F7">
            <w:pPr>
              <w:adjustRightInd w:val="0"/>
              <w:jc w:val="center"/>
              <w:rPr>
                <w:rFonts w:ascii="Times New Roman" w:hAnsi="Times New Roman" w:cs="Times New Roman"/>
                <w:sz w:val="18"/>
                <w:szCs w:val="18"/>
              </w:rPr>
            </w:pPr>
            <w:r w:rsidRPr="00574185">
              <w:rPr>
                <w:rFonts w:ascii="Times New Roman" w:hAnsi="Times New Roman" w:cs="Times New Roman"/>
                <w:sz w:val="18"/>
                <w:szCs w:val="18"/>
              </w:rPr>
              <w:t>%</w:t>
            </w:r>
          </w:p>
        </w:tc>
        <w:tc>
          <w:tcPr>
            <w:tcW w:w="900" w:type="dxa"/>
            <w:tcBorders>
              <w:top w:val="single" w:sz="4" w:space="0" w:color="auto"/>
              <w:bottom w:val="nil"/>
            </w:tcBorders>
            <w:vAlign w:val="center"/>
          </w:tcPr>
          <w:p w14:paraId="16EAFC8C" w14:textId="77777777" w:rsidR="00A81582" w:rsidRPr="00574185" w:rsidRDefault="00A81582" w:rsidP="00A679F7">
            <w:pPr>
              <w:adjustRightInd w:val="0"/>
              <w:jc w:val="center"/>
              <w:rPr>
                <w:rFonts w:ascii="Times New Roman" w:hAnsi="Times New Roman" w:cs="Times New Roman"/>
                <w:sz w:val="18"/>
                <w:szCs w:val="18"/>
              </w:rPr>
            </w:pPr>
            <w:r w:rsidRPr="00574185">
              <w:rPr>
                <w:rFonts w:ascii="Times New Roman" w:hAnsi="Times New Roman" w:cs="Times New Roman"/>
                <w:sz w:val="18"/>
                <w:szCs w:val="18"/>
              </w:rPr>
              <w:t>+</w:t>
            </w:r>
          </w:p>
        </w:tc>
      </w:tr>
      <w:tr w:rsidR="00A81582" w:rsidRPr="00502B21" w14:paraId="6A8017A1" w14:textId="77777777" w:rsidTr="00A679F7">
        <w:trPr>
          <w:trHeight w:val="311"/>
          <w:jc w:val="center"/>
        </w:trPr>
        <w:tc>
          <w:tcPr>
            <w:tcW w:w="1260" w:type="dxa"/>
            <w:vMerge/>
            <w:tcBorders>
              <w:top w:val="nil"/>
              <w:bottom w:val="nil"/>
            </w:tcBorders>
          </w:tcPr>
          <w:p w14:paraId="74400337" w14:textId="77777777" w:rsidR="00A81582" w:rsidRPr="00574185" w:rsidRDefault="00A81582" w:rsidP="00A679F7">
            <w:pPr>
              <w:jc w:val="center"/>
              <w:rPr>
                <w:rFonts w:ascii="Times New Roman" w:hAnsi="Times New Roman" w:cs="Times New Roman"/>
                <w:sz w:val="18"/>
                <w:szCs w:val="18"/>
              </w:rPr>
            </w:pPr>
          </w:p>
        </w:tc>
        <w:tc>
          <w:tcPr>
            <w:tcW w:w="5040" w:type="dxa"/>
            <w:tcBorders>
              <w:top w:val="nil"/>
              <w:bottom w:val="nil"/>
            </w:tcBorders>
          </w:tcPr>
          <w:p w14:paraId="56C85B2D" w14:textId="77777777" w:rsidR="00A81582" w:rsidRPr="00574185" w:rsidRDefault="00A81582" w:rsidP="00A679F7">
            <w:pPr>
              <w:adjustRightInd w:val="0"/>
              <w:jc w:val="left"/>
              <w:textAlignment w:val="center"/>
              <w:rPr>
                <w:rFonts w:ascii="Times New Roman" w:hAnsi="Times New Roman" w:cs="Times New Roman"/>
                <w:sz w:val="18"/>
                <w:szCs w:val="18"/>
              </w:rPr>
            </w:pPr>
            <w:r w:rsidRPr="00574185">
              <w:rPr>
                <w:rFonts w:ascii="Times New Roman" w:hAnsi="Times New Roman" w:cs="Times New Roman"/>
                <w:sz w:val="18"/>
                <w:szCs w:val="18"/>
              </w:rPr>
              <w:t>Proportion of science and technology personnel of all employees</w:t>
            </w:r>
          </w:p>
        </w:tc>
        <w:tc>
          <w:tcPr>
            <w:tcW w:w="1710" w:type="dxa"/>
            <w:tcBorders>
              <w:top w:val="nil"/>
              <w:bottom w:val="nil"/>
            </w:tcBorders>
            <w:vAlign w:val="center"/>
          </w:tcPr>
          <w:p w14:paraId="5F5EB379" w14:textId="77777777" w:rsidR="00A81582" w:rsidRPr="00574185" w:rsidRDefault="00A81582" w:rsidP="00A679F7">
            <w:pPr>
              <w:adjustRightInd w:val="0"/>
              <w:jc w:val="center"/>
              <w:rPr>
                <w:rFonts w:ascii="Times New Roman" w:hAnsi="Times New Roman" w:cs="Times New Roman"/>
                <w:sz w:val="18"/>
                <w:szCs w:val="18"/>
              </w:rPr>
            </w:pPr>
            <w:r w:rsidRPr="00574185">
              <w:rPr>
                <w:rFonts w:ascii="Times New Roman" w:hAnsi="Times New Roman" w:cs="Times New Roman"/>
                <w:sz w:val="18"/>
                <w:szCs w:val="18"/>
              </w:rPr>
              <w:t>%</w:t>
            </w:r>
          </w:p>
        </w:tc>
        <w:tc>
          <w:tcPr>
            <w:tcW w:w="900" w:type="dxa"/>
            <w:tcBorders>
              <w:top w:val="nil"/>
              <w:bottom w:val="nil"/>
            </w:tcBorders>
            <w:vAlign w:val="center"/>
          </w:tcPr>
          <w:p w14:paraId="4F1818E6" w14:textId="77777777" w:rsidR="00A81582" w:rsidRPr="00574185" w:rsidRDefault="00A81582" w:rsidP="00A679F7">
            <w:pPr>
              <w:adjustRightInd w:val="0"/>
              <w:jc w:val="center"/>
              <w:rPr>
                <w:rFonts w:ascii="Times New Roman" w:hAnsi="Times New Roman" w:cs="Times New Roman"/>
                <w:sz w:val="18"/>
                <w:szCs w:val="18"/>
              </w:rPr>
            </w:pPr>
            <w:r w:rsidRPr="00574185">
              <w:rPr>
                <w:rFonts w:ascii="Times New Roman" w:hAnsi="Times New Roman" w:cs="Times New Roman"/>
                <w:sz w:val="18"/>
                <w:szCs w:val="18"/>
              </w:rPr>
              <w:t>+</w:t>
            </w:r>
          </w:p>
        </w:tc>
      </w:tr>
      <w:tr w:rsidR="00A81582" w:rsidRPr="00502B21" w14:paraId="40567BBC" w14:textId="77777777" w:rsidTr="00A679F7">
        <w:trPr>
          <w:trHeight w:val="311"/>
          <w:jc w:val="center"/>
        </w:trPr>
        <w:tc>
          <w:tcPr>
            <w:tcW w:w="1260" w:type="dxa"/>
            <w:vMerge/>
            <w:tcBorders>
              <w:top w:val="nil"/>
              <w:bottom w:val="single" w:sz="4" w:space="0" w:color="auto"/>
            </w:tcBorders>
          </w:tcPr>
          <w:p w14:paraId="4F1760CA" w14:textId="77777777" w:rsidR="00A81582" w:rsidRPr="00574185" w:rsidRDefault="00A81582" w:rsidP="00A679F7">
            <w:pPr>
              <w:jc w:val="center"/>
              <w:rPr>
                <w:rFonts w:ascii="Times New Roman" w:hAnsi="Times New Roman" w:cs="Times New Roman"/>
                <w:sz w:val="18"/>
                <w:szCs w:val="18"/>
              </w:rPr>
            </w:pPr>
          </w:p>
        </w:tc>
        <w:tc>
          <w:tcPr>
            <w:tcW w:w="5040" w:type="dxa"/>
            <w:tcBorders>
              <w:top w:val="nil"/>
              <w:bottom w:val="single" w:sz="4" w:space="0" w:color="auto"/>
            </w:tcBorders>
          </w:tcPr>
          <w:p w14:paraId="4EE91566" w14:textId="77777777" w:rsidR="00A81582" w:rsidRPr="00574185" w:rsidRDefault="00A81582" w:rsidP="00A679F7">
            <w:pPr>
              <w:adjustRightInd w:val="0"/>
              <w:jc w:val="left"/>
              <w:textAlignment w:val="center"/>
              <w:rPr>
                <w:rFonts w:ascii="Times New Roman" w:hAnsi="Times New Roman" w:cs="Times New Roman"/>
                <w:sz w:val="18"/>
                <w:szCs w:val="18"/>
              </w:rPr>
            </w:pPr>
            <w:r w:rsidRPr="00574185">
              <w:rPr>
                <w:rFonts w:ascii="Times New Roman" w:hAnsi="Times New Roman" w:cs="Times New Roman"/>
                <w:sz w:val="18"/>
                <w:szCs w:val="18"/>
              </w:rPr>
              <w:t>Number of patents granted per 10,000 people</w:t>
            </w:r>
          </w:p>
        </w:tc>
        <w:tc>
          <w:tcPr>
            <w:tcW w:w="1710" w:type="dxa"/>
            <w:tcBorders>
              <w:top w:val="nil"/>
              <w:bottom w:val="single" w:sz="4" w:space="0" w:color="auto"/>
            </w:tcBorders>
            <w:vAlign w:val="center"/>
          </w:tcPr>
          <w:p w14:paraId="5EE6D919" w14:textId="77777777" w:rsidR="00A81582" w:rsidRPr="00574185" w:rsidRDefault="00A81582" w:rsidP="00A679F7">
            <w:pPr>
              <w:adjustRightInd w:val="0"/>
              <w:jc w:val="center"/>
              <w:rPr>
                <w:rFonts w:ascii="Times New Roman" w:hAnsi="Times New Roman" w:cs="Times New Roman"/>
                <w:sz w:val="18"/>
                <w:szCs w:val="18"/>
              </w:rPr>
            </w:pPr>
            <w:r>
              <w:rPr>
                <w:rFonts w:ascii="Times New Roman" w:hAnsi="Times New Roman" w:cs="Times New Roman" w:hint="eastAsia"/>
                <w:sz w:val="18"/>
                <w:szCs w:val="18"/>
              </w:rPr>
              <w:t>P</w:t>
            </w:r>
            <w:r w:rsidRPr="00574185">
              <w:rPr>
                <w:rFonts w:ascii="Times New Roman" w:hAnsi="Times New Roman" w:cs="Times New Roman"/>
                <w:sz w:val="18"/>
                <w:szCs w:val="18"/>
              </w:rPr>
              <w:t>iece</w:t>
            </w:r>
          </w:p>
        </w:tc>
        <w:tc>
          <w:tcPr>
            <w:tcW w:w="900" w:type="dxa"/>
            <w:tcBorders>
              <w:top w:val="nil"/>
              <w:bottom w:val="single" w:sz="4" w:space="0" w:color="auto"/>
            </w:tcBorders>
            <w:vAlign w:val="center"/>
          </w:tcPr>
          <w:p w14:paraId="59237543" w14:textId="77777777" w:rsidR="00A81582" w:rsidRPr="00574185" w:rsidRDefault="00A81582" w:rsidP="00A679F7">
            <w:pPr>
              <w:adjustRightInd w:val="0"/>
              <w:jc w:val="center"/>
              <w:rPr>
                <w:rFonts w:ascii="Times New Roman" w:hAnsi="Times New Roman" w:cs="Times New Roman"/>
                <w:sz w:val="18"/>
                <w:szCs w:val="18"/>
              </w:rPr>
            </w:pPr>
            <w:r w:rsidRPr="00574185">
              <w:rPr>
                <w:rFonts w:ascii="Times New Roman" w:hAnsi="Times New Roman" w:cs="Times New Roman"/>
                <w:sz w:val="18"/>
                <w:szCs w:val="18"/>
              </w:rPr>
              <w:t>+</w:t>
            </w:r>
          </w:p>
        </w:tc>
      </w:tr>
      <w:tr w:rsidR="00A81582" w:rsidRPr="00502B21" w14:paraId="7326136D" w14:textId="77777777" w:rsidTr="00A679F7">
        <w:trPr>
          <w:trHeight w:val="169"/>
          <w:jc w:val="center"/>
        </w:trPr>
        <w:tc>
          <w:tcPr>
            <w:tcW w:w="1260" w:type="dxa"/>
            <w:vMerge w:val="restart"/>
            <w:tcBorders>
              <w:top w:val="single" w:sz="4" w:space="0" w:color="auto"/>
              <w:bottom w:val="nil"/>
            </w:tcBorders>
            <w:vAlign w:val="center"/>
          </w:tcPr>
          <w:p w14:paraId="50D5A074" w14:textId="77777777" w:rsidR="00A81582" w:rsidRPr="00574185" w:rsidRDefault="00A81582" w:rsidP="00A679F7">
            <w:pPr>
              <w:jc w:val="center"/>
              <w:textAlignment w:val="center"/>
              <w:rPr>
                <w:rFonts w:ascii="Times New Roman" w:hAnsi="Times New Roman" w:cs="Times New Roman"/>
                <w:sz w:val="18"/>
                <w:szCs w:val="18"/>
              </w:rPr>
            </w:pPr>
            <w:r w:rsidRPr="00574185">
              <w:rPr>
                <w:rFonts w:ascii="Times New Roman" w:hAnsi="Times New Roman" w:cs="Times New Roman"/>
                <w:sz w:val="18"/>
                <w:szCs w:val="18"/>
              </w:rPr>
              <w:t>Coordinated development</w:t>
            </w:r>
          </w:p>
        </w:tc>
        <w:tc>
          <w:tcPr>
            <w:tcW w:w="5040" w:type="dxa"/>
            <w:tcBorders>
              <w:top w:val="single" w:sz="4" w:space="0" w:color="auto"/>
              <w:bottom w:val="nil"/>
            </w:tcBorders>
          </w:tcPr>
          <w:p w14:paraId="2E797515" w14:textId="77777777" w:rsidR="00A81582" w:rsidRPr="00574185" w:rsidRDefault="00A81582" w:rsidP="00A679F7">
            <w:pPr>
              <w:adjustRightInd w:val="0"/>
              <w:jc w:val="left"/>
              <w:textAlignment w:val="center"/>
              <w:rPr>
                <w:rFonts w:ascii="Times New Roman" w:hAnsi="Times New Roman" w:cs="Times New Roman"/>
                <w:sz w:val="18"/>
                <w:szCs w:val="18"/>
              </w:rPr>
            </w:pPr>
            <w:r w:rsidRPr="00574185">
              <w:rPr>
                <w:rFonts w:ascii="Times New Roman" w:hAnsi="Times New Roman" w:cs="Times New Roman"/>
                <w:sz w:val="18"/>
                <w:szCs w:val="18"/>
              </w:rPr>
              <w:t>Gini coefficient of per capita GDP</w:t>
            </w:r>
          </w:p>
        </w:tc>
        <w:tc>
          <w:tcPr>
            <w:tcW w:w="1710" w:type="dxa"/>
            <w:tcBorders>
              <w:top w:val="single" w:sz="4" w:space="0" w:color="auto"/>
              <w:bottom w:val="nil"/>
            </w:tcBorders>
            <w:vAlign w:val="center"/>
          </w:tcPr>
          <w:p w14:paraId="048D7289" w14:textId="77777777" w:rsidR="00A81582" w:rsidRPr="00574185" w:rsidRDefault="00A81582" w:rsidP="00A679F7">
            <w:pPr>
              <w:adjustRightInd w:val="0"/>
              <w:jc w:val="center"/>
              <w:rPr>
                <w:rFonts w:ascii="Times New Roman" w:hAnsi="Times New Roman" w:cs="Times New Roman"/>
                <w:sz w:val="18"/>
                <w:szCs w:val="18"/>
              </w:rPr>
            </w:pPr>
            <w:r w:rsidRPr="00574185">
              <w:rPr>
                <w:rFonts w:ascii="Times New Roman" w:hAnsi="Times New Roman" w:cs="Times New Roman"/>
                <w:sz w:val="18"/>
                <w:szCs w:val="18"/>
              </w:rPr>
              <w:t>—</w:t>
            </w:r>
          </w:p>
        </w:tc>
        <w:tc>
          <w:tcPr>
            <w:tcW w:w="900" w:type="dxa"/>
            <w:tcBorders>
              <w:top w:val="single" w:sz="4" w:space="0" w:color="auto"/>
              <w:bottom w:val="nil"/>
            </w:tcBorders>
            <w:vAlign w:val="center"/>
          </w:tcPr>
          <w:p w14:paraId="416FA552" w14:textId="77777777" w:rsidR="00A81582" w:rsidRPr="00574185" w:rsidRDefault="00A81582" w:rsidP="00A679F7">
            <w:pPr>
              <w:adjustRightInd w:val="0"/>
              <w:jc w:val="center"/>
              <w:rPr>
                <w:rFonts w:ascii="Times New Roman" w:hAnsi="Times New Roman" w:cs="Times New Roman"/>
                <w:sz w:val="18"/>
                <w:szCs w:val="18"/>
              </w:rPr>
            </w:pPr>
            <w:r w:rsidRPr="00574185">
              <w:rPr>
                <w:rFonts w:ascii="Times New Roman" w:hAnsi="Times New Roman" w:cs="Times New Roman"/>
                <w:sz w:val="18"/>
                <w:szCs w:val="18"/>
              </w:rPr>
              <w:t>-</w:t>
            </w:r>
          </w:p>
        </w:tc>
      </w:tr>
      <w:tr w:rsidR="00A81582" w:rsidRPr="00502B21" w14:paraId="5565C775" w14:textId="77777777" w:rsidTr="00A679F7">
        <w:trPr>
          <w:trHeight w:val="311"/>
          <w:jc w:val="center"/>
        </w:trPr>
        <w:tc>
          <w:tcPr>
            <w:tcW w:w="1260" w:type="dxa"/>
            <w:vMerge/>
            <w:tcBorders>
              <w:top w:val="nil"/>
              <w:bottom w:val="nil"/>
            </w:tcBorders>
          </w:tcPr>
          <w:p w14:paraId="16C4383B" w14:textId="77777777" w:rsidR="00A81582" w:rsidRPr="00574185" w:rsidRDefault="00A81582" w:rsidP="00A679F7">
            <w:pPr>
              <w:jc w:val="center"/>
              <w:rPr>
                <w:rFonts w:ascii="Times New Roman" w:hAnsi="Times New Roman" w:cs="Times New Roman"/>
                <w:sz w:val="18"/>
                <w:szCs w:val="18"/>
              </w:rPr>
            </w:pPr>
          </w:p>
        </w:tc>
        <w:tc>
          <w:tcPr>
            <w:tcW w:w="5040" w:type="dxa"/>
            <w:tcBorders>
              <w:top w:val="nil"/>
              <w:bottom w:val="nil"/>
            </w:tcBorders>
          </w:tcPr>
          <w:p w14:paraId="00ADFE30" w14:textId="77777777" w:rsidR="00A81582" w:rsidRPr="00574185" w:rsidRDefault="00A81582" w:rsidP="00A679F7">
            <w:pPr>
              <w:adjustRightInd w:val="0"/>
              <w:jc w:val="left"/>
              <w:textAlignment w:val="center"/>
              <w:rPr>
                <w:rFonts w:ascii="Times New Roman" w:hAnsi="Times New Roman" w:cs="Times New Roman"/>
                <w:sz w:val="18"/>
                <w:szCs w:val="18"/>
              </w:rPr>
            </w:pPr>
            <w:r w:rsidRPr="00574185">
              <w:rPr>
                <w:rFonts w:ascii="Times New Roman" w:hAnsi="Times New Roman" w:cs="Times New Roman"/>
                <w:sz w:val="18"/>
                <w:szCs w:val="18"/>
              </w:rPr>
              <w:t>Ratio of per capita disposable income between urban and rural residents</w:t>
            </w:r>
          </w:p>
        </w:tc>
        <w:tc>
          <w:tcPr>
            <w:tcW w:w="1710" w:type="dxa"/>
            <w:tcBorders>
              <w:top w:val="nil"/>
              <w:bottom w:val="nil"/>
            </w:tcBorders>
            <w:vAlign w:val="center"/>
          </w:tcPr>
          <w:p w14:paraId="2DFD273E" w14:textId="77777777" w:rsidR="00A81582" w:rsidRPr="00574185" w:rsidRDefault="00A81582" w:rsidP="00A679F7">
            <w:pPr>
              <w:adjustRightInd w:val="0"/>
              <w:jc w:val="center"/>
              <w:rPr>
                <w:rFonts w:ascii="Times New Roman" w:hAnsi="Times New Roman" w:cs="Times New Roman"/>
                <w:sz w:val="18"/>
                <w:szCs w:val="18"/>
              </w:rPr>
            </w:pPr>
            <w:r w:rsidRPr="00574185">
              <w:rPr>
                <w:rFonts w:ascii="Times New Roman" w:hAnsi="Times New Roman" w:cs="Times New Roman"/>
                <w:sz w:val="18"/>
                <w:szCs w:val="18"/>
              </w:rPr>
              <w:t>—</w:t>
            </w:r>
          </w:p>
        </w:tc>
        <w:tc>
          <w:tcPr>
            <w:tcW w:w="900" w:type="dxa"/>
            <w:tcBorders>
              <w:top w:val="nil"/>
              <w:bottom w:val="nil"/>
            </w:tcBorders>
            <w:vAlign w:val="center"/>
          </w:tcPr>
          <w:p w14:paraId="63D74B04" w14:textId="77777777" w:rsidR="00A81582" w:rsidRPr="00574185" w:rsidRDefault="00A81582" w:rsidP="00A679F7">
            <w:pPr>
              <w:adjustRightInd w:val="0"/>
              <w:jc w:val="center"/>
              <w:rPr>
                <w:rFonts w:ascii="Times New Roman" w:hAnsi="Times New Roman" w:cs="Times New Roman"/>
                <w:sz w:val="18"/>
                <w:szCs w:val="18"/>
              </w:rPr>
            </w:pPr>
            <w:r w:rsidRPr="00574185">
              <w:rPr>
                <w:rFonts w:ascii="Times New Roman" w:hAnsi="Times New Roman" w:cs="Times New Roman"/>
                <w:sz w:val="18"/>
                <w:szCs w:val="18"/>
              </w:rPr>
              <w:t>-</w:t>
            </w:r>
          </w:p>
        </w:tc>
      </w:tr>
      <w:tr w:rsidR="00A81582" w:rsidRPr="00502B21" w14:paraId="36F381D3" w14:textId="77777777" w:rsidTr="00A679F7">
        <w:trPr>
          <w:trHeight w:val="311"/>
          <w:jc w:val="center"/>
        </w:trPr>
        <w:tc>
          <w:tcPr>
            <w:tcW w:w="1260" w:type="dxa"/>
            <w:vMerge/>
            <w:tcBorders>
              <w:top w:val="nil"/>
              <w:bottom w:val="single" w:sz="4" w:space="0" w:color="auto"/>
            </w:tcBorders>
          </w:tcPr>
          <w:p w14:paraId="3CA1C459" w14:textId="77777777" w:rsidR="00A81582" w:rsidRPr="00574185" w:rsidRDefault="00A81582" w:rsidP="00A679F7">
            <w:pPr>
              <w:jc w:val="center"/>
              <w:rPr>
                <w:rFonts w:ascii="Times New Roman" w:hAnsi="Times New Roman" w:cs="Times New Roman"/>
                <w:sz w:val="18"/>
                <w:szCs w:val="18"/>
              </w:rPr>
            </w:pPr>
          </w:p>
        </w:tc>
        <w:tc>
          <w:tcPr>
            <w:tcW w:w="5040" w:type="dxa"/>
            <w:tcBorders>
              <w:top w:val="nil"/>
              <w:bottom w:val="single" w:sz="4" w:space="0" w:color="auto"/>
            </w:tcBorders>
          </w:tcPr>
          <w:p w14:paraId="24F652F1" w14:textId="77777777" w:rsidR="00A81582" w:rsidRPr="00574185" w:rsidRDefault="00A81582" w:rsidP="00A679F7">
            <w:pPr>
              <w:textAlignment w:val="center"/>
              <w:rPr>
                <w:rFonts w:ascii="Times New Roman" w:hAnsi="Times New Roman" w:cs="Times New Roman"/>
                <w:sz w:val="18"/>
                <w:szCs w:val="18"/>
              </w:rPr>
            </w:pPr>
            <w:r w:rsidRPr="00574185">
              <w:rPr>
                <w:rFonts w:ascii="Times New Roman" w:hAnsi="Times New Roman" w:cs="Times New Roman"/>
                <w:sz w:val="18"/>
                <w:szCs w:val="18"/>
              </w:rPr>
              <w:t>Ratio of per capita consumption expenditure between urban and rural residents</w:t>
            </w:r>
          </w:p>
        </w:tc>
        <w:tc>
          <w:tcPr>
            <w:tcW w:w="1710" w:type="dxa"/>
            <w:tcBorders>
              <w:top w:val="nil"/>
              <w:bottom w:val="single" w:sz="4" w:space="0" w:color="auto"/>
            </w:tcBorders>
            <w:vAlign w:val="center"/>
          </w:tcPr>
          <w:p w14:paraId="18D89B67" w14:textId="77777777" w:rsidR="00A81582" w:rsidRPr="00574185" w:rsidRDefault="00A81582" w:rsidP="00A679F7">
            <w:pPr>
              <w:adjustRightInd w:val="0"/>
              <w:jc w:val="center"/>
              <w:rPr>
                <w:rFonts w:ascii="Times New Roman" w:hAnsi="Times New Roman" w:cs="Times New Roman"/>
                <w:sz w:val="18"/>
                <w:szCs w:val="18"/>
              </w:rPr>
            </w:pPr>
            <w:r w:rsidRPr="00574185">
              <w:rPr>
                <w:rFonts w:ascii="Times New Roman" w:hAnsi="Times New Roman" w:cs="Times New Roman"/>
                <w:sz w:val="18"/>
                <w:szCs w:val="18"/>
              </w:rPr>
              <w:t>—</w:t>
            </w:r>
          </w:p>
        </w:tc>
        <w:tc>
          <w:tcPr>
            <w:tcW w:w="900" w:type="dxa"/>
            <w:tcBorders>
              <w:top w:val="nil"/>
              <w:bottom w:val="single" w:sz="4" w:space="0" w:color="auto"/>
            </w:tcBorders>
            <w:vAlign w:val="center"/>
          </w:tcPr>
          <w:p w14:paraId="48CE8C91" w14:textId="77777777" w:rsidR="00A81582" w:rsidRPr="00574185" w:rsidRDefault="00A81582" w:rsidP="00A679F7">
            <w:pPr>
              <w:adjustRightInd w:val="0"/>
              <w:jc w:val="center"/>
              <w:rPr>
                <w:rFonts w:ascii="Times New Roman" w:hAnsi="Times New Roman" w:cs="Times New Roman"/>
                <w:sz w:val="18"/>
                <w:szCs w:val="18"/>
              </w:rPr>
            </w:pPr>
            <w:r w:rsidRPr="00574185">
              <w:rPr>
                <w:rFonts w:ascii="Times New Roman" w:hAnsi="Times New Roman" w:cs="Times New Roman"/>
                <w:sz w:val="18"/>
                <w:szCs w:val="18"/>
              </w:rPr>
              <w:t>-</w:t>
            </w:r>
          </w:p>
        </w:tc>
      </w:tr>
      <w:tr w:rsidR="00A81582" w:rsidRPr="00502B21" w14:paraId="555A6EBF" w14:textId="77777777" w:rsidTr="00A679F7">
        <w:trPr>
          <w:trHeight w:val="317"/>
          <w:jc w:val="center"/>
        </w:trPr>
        <w:tc>
          <w:tcPr>
            <w:tcW w:w="1260" w:type="dxa"/>
            <w:vMerge w:val="restart"/>
            <w:tcBorders>
              <w:top w:val="single" w:sz="4" w:space="0" w:color="auto"/>
              <w:bottom w:val="nil"/>
            </w:tcBorders>
            <w:vAlign w:val="center"/>
          </w:tcPr>
          <w:p w14:paraId="36C84BC0" w14:textId="77777777" w:rsidR="00A81582" w:rsidRPr="00574185" w:rsidRDefault="00A81582" w:rsidP="00A679F7">
            <w:pPr>
              <w:jc w:val="center"/>
              <w:textAlignment w:val="center"/>
              <w:rPr>
                <w:rFonts w:ascii="Times New Roman" w:hAnsi="Times New Roman" w:cs="Times New Roman"/>
                <w:sz w:val="18"/>
                <w:szCs w:val="18"/>
              </w:rPr>
            </w:pPr>
            <w:r w:rsidRPr="00574185">
              <w:rPr>
                <w:rFonts w:ascii="Times New Roman" w:hAnsi="Times New Roman" w:cs="Times New Roman"/>
                <w:sz w:val="18"/>
                <w:szCs w:val="18"/>
              </w:rPr>
              <w:t>Green development</w:t>
            </w:r>
          </w:p>
        </w:tc>
        <w:tc>
          <w:tcPr>
            <w:tcW w:w="5040" w:type="dxa"/>
            <w:tcBorders>
              <w:top w:val="single" w:sz="4" w:space="0" w:color="auto"/>
              <w:bottom w:val="nil"/>
            </w:tcBorders>
          </w:tcPr>
          <w:p w14:paraId="3D0EE542" w14:textId="77777777" w:rsidR="00A81582" w:rsidRPr="00574185" w:rsidRDefault="00A81582" w:rsidP="00A679F7">
            <w:pPr>
              <w:adjustRightInd w:val="0"/>
              <w:jc w:val="left"/>
              <w:textAlignment w:val="center"/>
              <w:rPr>
                <w:rFonts w:ascii="Times New Roman" w:hAnsi="Times New Roman" w:cs="Times New Roman"/>
                <w:sz w:val="18"/>
                <w:szCs w:val="18"/>
              </w:rPr>
            </w:pPr>
            <w:r w:rsidRPr="00574185">
              <w:rPr>
                <w:rFonts w:ascii="Times New Roman" w:hAnsi="Times New Roman" w:cs="Times New Roman"/>
                <w:sz w:val="18"/>
                <w:szCs w:val="18"/>
              </w:rPr>
              <w:t>Energy consumption per unit of GDP</w:t>
            </w:r>
          </w:p>
        </w:tc>
        <w:tc>
          <w:tcPr>
            <w:tcW w:w="1710" w:type="dxa"/>
            <w:tcBorders>
              <w:top w:val="single" w:sz="4" w:space="0" w:color="auto"/>
              <w:bottom w:val="nil"/>
            </w:tcBorders>
            <w:vAlign w:val="center"/>
          </w:tcPr>
          <w:p w14:paraId="7F7DED04" w14:textId="77777777" w:rsidR="00A81582" w:rsidRPr="00574185" w:rsidRDefault="00A81582" w:rsidP="00A679F7">
            <w:pPr>
              <w:adjustRightInd w:val="0"/>
              <w:jc w:val="center"/>
              <w:rPr>
                <w:rFonts w:ascii="Times New Roman" w:hAnsi="Times New Roman" w:cs="Times New Roman"/>
                <w:sz w:val="18"/>
                <w:szCs w:val="18"/>
              </w:rPr>
            </w:pPr>
            <w:r w:rsidRPr="00574185">
              <w:rPr>
                <w:rFonts w:ascii="Times New Roman" w:hAnsi="Times New Roman" w:cs="Times New Roman"/>
                <w:sz w:val="18"/>
                <w:szCs w:val="18"/>
              </w:rPr>
              <w:t>Tons/</w:t>
            </w:r>
            <w:r>
              <w:rPr>
                <w:rFonts w:ascii="Times New Roman" w:hAnsi="Times New Roman" w:cs="Times New Roman"/>
                <w:sz w:val="18"/>
                <w:szCs w:val="18"/>
              </w:rPr>
              <w:t>10,000CNY</w:t>
            </w:r>
          </w:p>
        </w:tc>
        <w:tc>
          <w:tcPr>
            <w:tcW w:w="900" w:type="dxa"/>
            <w:tcBorders>
              <w:top w:val="single" w:sz="4" w:space="0" w:color="auto"/>
              <w:bottom w:val="nil"/>
            </w:tcBorders>
            <w:vAlign w:val="center"/>
          </w:tcPr>
          <w:p w14:paraId="1CFA9CB4" w14:textId="77777777" w:rsidR="00A81582" w:rsidRPr="00574185" w:rsidRDefault="00A81582" w:rsidP="00A679F7">
            <w:pPr>
              <w:adjustRightInd w:val="0"/>
              <w:jc w:val="center"/>
              <w:rPr>
                <w:rFonts w:ascii="Times New Roman" w:hAnsi="Times New Roman" w:cs="Times New Roman"/>
                <w:sz w:val="18"/>
                <w:szCs w:val="18"/>
              </w:rPr>
            </w:pPr>
            <w:r w:rsidRPr="00574185">
              <w:rPr>
                <w:rFonts w:ascii="Times New Roman" w:hAnsi="Times New Roman" w:cs="Times New Roman"/>
                <w:sz w:val="18"/>
                <w:szCs w:val="18"/>
              </w:rPr>
              <w:t>-</w:t>
            </w:r>
          </w:p>
        </w:tc>
      </w:tr>
      <w:tr w:rsidR="00A81582" w:rsidRPr="00502B21" w14:paraId="14CB9337" w14:textId="77777777" w:rsidTr="00A679F7">
        <w:trPr>
          <w:trHeight w:val="311"/>
          <w:jc w:val="center"/>
        </w:trPr>
        <w:tc>
          <w:tcPr>
            <w:tcW w:w="1260" w:type="dxa"/>
            <w:vMerge/>
            <w:tcBorders>
              <w:top w:val="nil"/>
              <w:bottom w:val="nil"/>
            </w:tcBorders>
          </w:tcPr>
          <w:p w14:paraId="09576890" w14:textId="77777777" w:rsidR="00A81582" w:rsidRPr="00574185" w:rsidRDefault="00A81582" w:rsidP="00A679F7">
            <w:pPr>
              <w:jc w:val="center"/>
              <w:rPr>
                <w:rFonts w:ascii="Times New Roman" w:hAnsi="Times New Roman" w:cs="Times New Roman"/>
                <w:sz w:val="18"/>
                <w:szCs w:val="18"/>
              </w:rPr>
            </w:pPr>
          </w:p>
        </w:tc>
        <w:tc>
          <w:tcPr>
            <w:tcW w:w="5040" w:type="dxa"/>
            <w:tcBorders>
              <w:top w:val="nil"/>
              <w:bottom w:val="nil"/>
            </w:tcBorders>
          </w:tcPr>
          <w:p w14:paraId="79530140" w14:textId="77777777" w:rsidR="00A81582" w:rsidRPr="00574185" w:rsidRDefault="00A81582" w:rsidP="00A679F7">
            <w:pPr>
              <w:adjustRightInd w:val="0"/>
              <w:jc w:val="left"/>
              <w:textAlignment w:val="center"/>
              <w:rPr>
                <w:rFonts w:ascii="Times New Roman" w:hAnsi="Times New Roman" w:cs="Times New Roman"/>
                <w:sz w:val="18"/>
                <w:szCs w:val="18"/>
              </w:rPr>
            </w:pPr>
            <w:r w:rsidRPr="00574185">
              <w:rPr>
                <w:rFonts w:ascii="Times New Roman" w:hAnsi="Times New Roman" w:cs="Times New Roman"/>
                <w:sz w:val="18"/>
                <w:szCs w:val="18"/>
              </w:rPr>
              <w:t>Sulfur dioxide emissions per unit of GDP</w:t>
            </w:r>
          </w:p>
        </w:tc>
        <w:tc>
          <w:tcPr>
            <w:tcW w:w="1710" w:type="dxa"/>
            <w:tcBorders>
              <w:top w:val="nil"/>
              <w:bottom w:val="nil"/>
            </w:tcBorders>
            <w:vAlign w:val="center"/>
          </w:tcPr>
          <w:p w14:paraId="0063E326" w14:textId="77777777" w:rsidR="00A81582" w:rsidRPr="00574185" w:rsidRDefault="00A81582" w:rsidP="00A679F7">
            <w:pPr>
              <w:adjustRightInd w:val="0"/>
              <w:jc w:val="center"/>
              <w:rPr>
                <w:rFonts w:ascii="Times New Roman" w:hAnsi="Times New Roman" w:cs="Times New Roman"/>
                <w:sz w:val="18"/>
                <w:szCs w:val="18"/>
              </w:rPr>
            </w:pPr>
            <w:r w:rsidRPr="00574185">
              <w:rPr>
                <w:rFonts w:ascii="Times New Roman" w:hAnsi="Times New Roman" w:cs="Times New Roman"/>
                <w:sz w:val="18"/>
                <w:szCs w:val="18"/>
              </w:rPr>
              <w:t>Tons/10,000</w:t>
            </w:r>
            <w:r>
              <w:rPr>
                <w:rFonts w:ascii="Times New Roman" w:hAnsi="Times New Roman" w:cs="Times New Roman"/>
                <w:sz w:val="18"/>
                <w:szCs w:val="18"/>
              </w:rPr>
              <w:t>CNY</w:t>
            </w:r>
          </w:p>
        </w:tc>
        <w:tc>
          <w:tcPr>
            <w:tcW w:w="900" w:type="dxa"/>
            <w:tcBorders>
              <w:top w:val="nil"/>
              <w:bottom w:val="nil"/>
            </w:tcBorders>
            <w:vAlign w:val="center"/>
          </w:tcPr>
          <w:p w14:paraId="130DD5B1" w14:textId="77777777" w:rsidR="00A81582" w:rsidRPr="00574185" w:rsidRDefault="00A81582" w:rsidP="00A679F7">
            <w:pPr>
              <w:adjustRightInd w:val="0"/>
              <w:jc w:val="center"/>
              <w:rPr>
                <w:rFonts w:ascii="Times New Roman" w:hAnsi="Times New Roman" w:cs="Times New Roman"/>
                <w:sz w:val="18"/>
                <w:szCs w:val="18"/>
              </w:rPr>
            </w:pPr>
            <w:r w:rsidRPr="00574185">
              <w:rPr>
                <w:rFonts w:ascii="Times New Roman" w:hAnsi="Times New Roman" w:cs="Times New Roman"/>
                <w:sz w:val="18"/>
                <w:szCs w:val="18"/>
              </w:rPr>
              <w:t>-</w:t>
            </w:r>
          </w:p>
        </w:tc>
      </w:tr>
      <w:tr w:rsidR="00A81582" w:rsidRPr="00502B21" w14:paraId="1FF8E92A" w14:textId="77777777" w:rsidTr="00A679F7">
        <w:trPr>
          <w:trHeight w:val="311"/>
          <w:jc w:val="center"/>
        </w:trPr>
        <w:tc>
          <w:tcPr>
            <w:tcW w:w="1260" w:type="dxa"/>
            <w:vMerge/>
            <w:tcBorders>
              <w:top w:val="nil"/>
              <w:bottom w:val="nil"/>
            </w:tcBorders>
          </w:tcPr>
          <w:p w14:paraId="60DB5164" w14:textId="77777777" w:rsidR="00A81582" w:rsidRPr="00574185" w:rsidRDefault="00A81582" w:rsidP="00A679F7">
            <w:pPr>
              <w:jc w:val="center"/>
              <w:rPr>
                <w:rFonts w:ascii="Times New Roman" w:hAnsi="Times New Roman" w:cs="Times New Roman"/>
                <w:sz w:val="18"/>
                <w:szCs w:val="18"/>
              </w:rPr>
            </w:pPr>
          </w:p>
        </w:tc>
        <w:tc>
          <w:tcPr>
            <w:tcW w:w="5040" w:type="dxa"/>
            <w:tcBorders>
              <w:top w:val="nil"/>
              <w:bottom w:val="nil"/>
            </w:tcBorders>
          </w:tcPr>
          <w:p w14:paraId="58CE665D" w14:textId="77777777" w:rsidR="00A81582" w:rsidRPr="00574185" w:rsidRDefault="00A81582" w:rsidP="00A679F7">
            <w:pPr>
              <w:adjustRightInd w:val="0"/>
              <w:jc w:val="left"/>
              <w:textAlignment w:val="center"/>
              <w:rPr>
                <w:rFonts w:ascii="Times New Roman" w:hAnsi="Times New Roman" w:cs="Times New Roman"/>
                <w:sz w:val="18"/>
                <w:szCs w:val="18"/>
              </w:rPr>
            </w:pPr>
            <w:r w:rsidRPr="00574185">
              <w:rPr>
                <w:rFonts w:ascii="Times New Roman" w:hAnsi="Times New Roman" w:cs="Times New Roman"/>
                <w:sz w:val="18"/>
                <w:szCs w:val="18"/>
              </w:rPr>
              <w:t>Comprehensive utilization rate of industrial solid waste</w:t>
            </w:r>
          </w:p>
        </w:tc>
        <w:tc>
          <w:tcPr>
            <w:tcW w:w="1710" w:type="dxa"/>
            <w:tcBorders>
              <w:top w:val="nil"/>
              <w:bottom w:val="nil"/>
            </w:tcBorders>
            <w:vAlign w:val="center"/>
          </w:tcPr>
          <w:p w14:paraId="0139E591" w14:textId="77777777" w:rsidR="00A81582" w:rsidRPr="00574185" w:rsidRDefault="00A81582" w:rsidP="00A679F7">
            <w:pPr>
              <w:adjustRightInd w:val="0"/>
              <w:jc w:val="center"/>
              <w:rPr>
                <w:rFonts w:ascii="Times New Roman" w:hAnsi="Times New Roman" w:cs="Times New Roman"/>
                <w:sz w:val="18"/>
                <w:szCs w:val="18"/>
              </w:rPr>
            </w:pPr>
            <w:r w:rsidRPr="00574185">
              <w:rPr>
                <w:rFonts w:ascii="Times New Roman" w:hAnsi="Times New Roman" w:cs="Times New Roman"/>
                <w:sz w:val="18"/>
                <w:szCs w:val="18"/>
              </w:rPr>
              <w:t>%</w:t>
            </w:r>
          </w:p>
        </w:tc>
        <w:tc>
          <w:tcPr>
            <w:tcW w:w="900" w:type="dxa"/>
            <w:tcBorders>
              <w:top w:val="nil"/>
              <w:bottom w:val="nil"/>
            </w:tcBorders>
            <w:vAlign w:val="center"/>
          </w:tcPr>
          <w:p w14:paraId="25288EBF" w14:textId="77777777" w:rsidR="00A81582" w:rsidRPr="00574185" w:rsidRDefault="00A81582" w:rsidP="00A679F7">
            <w:pPr>
              <w:adjustRightInd w:val="0"/>
              <w:jc w:val="center"/>
              <w:rPr>
                <w:rFonts w:ascii="Times New Roman" w:hAnsi="Times New Roman" w:cs="Times New Roman"/>
                <w:sz w:val="18"/>
                <w:szCs w:val="18"/>
              </w:rPr>
            </w:pPr>
            <w:r w:rsidRPr="00574185">
              <w:rPr>
                <w:rFonts w:ascii="Times New Roman" w:hAnsi="Times New Roman" w:cs="Times New Roman"/>
                <w:sz w:val="18"/>
                <w:szCs w:val="18"/>
              </w:rPr>
              <w:t>+</w:t>
            </w:r>
          </w:p>
        </w:tc>
      </w:tr>
      <w:tr w:rsidR="00A81582" w:rsidRPr="00502B21" w14:paraId="400F744E" w14:textId="77777777" w:rsidTr="00A679F7">
        <w:trPr>
          <w:trHeight w:val="311"/>
          <w:jc w:val="center"/>
        </w:trPr>
        <w:tc>
          <w:tcPr>
            <w:tcW w:w="1260" w:type="dxa"/>
            <w:vMerge/>
            <w:tcBorders>
              <w:top w:val="nil"/>
              <w:bottom w:val="single" w:sz="4" w:space="0" w:color="auto"/>
            </w:tcBorders>
          </w:tcPr>
          <w:p w14:paraId="2B15C2F1" w14:textId="77777777" w:rsidR="00A81582" w:rsidRPr="00574185" w:rsidRDefault="00A81582" w:rsidP="00A679F7">
            <w:pPr>
              <w:jc w:val="center"/>
              <w:rPr>
                <w:rFonts w:ascii="Times New Roman" w:hAnsi="Times New Roman" w:cs="Times New Roman"/>
                <w:sz w:val="18"/>
                <w:szCs w:val="18"/>
              </w:rPr>
            </w:pPr>
          </w:p>
        </w:tc>
        <w:tc>
          <w:tcPr>
            <w:tcW w:w="5040" w:type="dxa"/>
            <w:tcBorders>
              <w:top w:val="nil"/>
              <w:bottom w:val="single" w:sz="4" w:space="0" w:color="auto"/>
            </w:tcBorders>
          </w:tcPr>
          <w:p w14:paraId="7CE46F1A" w14:textId="77777777" w:rsidR="00A81582" w:rsidRPr="00574185" w:rsidRDefault="00A81582" w:rsidP="00A679F7">
            <w:pPr>
              <w:adjustRightInd w:val="0"/>
              <w:jc w:val="left"/>
              <w:textAlignment w:val="center"/>
              <w:rPr>
                <w:rFonts w:ascii="Times New Roman" w:hAnsi="Times New Roman" w:cs="Times New Roman"/>
                <w:sz w:val="18"/>
                <w:szCs w:val="18"/>
              </w:rPr>
            </w:pPr>
            <w:r w:rsidRPr="00574185">
              <w:rPr>
                <w:rFonts w:ascii="Times New Roman" w:hAnsi="Times New Roman" w:cs="Times New Roman"/>
                <w:sz w:val="18"/>
                <w:szCs w:val="18"/>
              </w:rPr>
              <w:t>Green coverage rate of built-up areas</w:t>
            </w:r>
          </w:p>
        </w:tc>
        <w:tc>
          <w:tcPr>
            <w:tcW w:w="1710" w:type="dxa"/>
            <w:tcBorders>
              <w:top w:val="nil"/>
              <w:bottom w:val="single" w:sz="4" w:space="0" w:color="auto"/>
            </w:tcBorders>
            <w:vAlign w:val="center"/>
          </w:tcPr>
          <w:p w14:paraId="62872EF1" w14:textId="77777777" w:rsidR="00A81582" w:rsidRPr="00574185" w:rsidRDefault="00A81582" w:rsidP="00A679F7">
            <w:pPr>
              <w:adjustRightInd w:val="0"/>
              <w:jc w:val="center"/>
              <w:rPr>
                <w:rFonts w:ascii="Times New Roman" w:hAnsi="Times New Roman" w:cs="Times New Roman"/>
                <w:sz w:val="18"/>
                <w:szCs w:val="18"/>
              </w:rPr>
            </w:pPr>
            <w:r w:rsidRPr="00574185">
              <w:rPr>
                <w:rFonts w:ascii="Times New Roman" w:hAnsi="Times New Roman" w:cs="Times New Roman"/>
                <w:sz w:val="18"/>
                <w:szCs w:val="18"/>
              </w:rPr>
              <w:t>%</w:t>
            </w:r>
          </w:p>
        </w:tc>
        <w:tc>
          <w:tcPr>
            <w:tcW w:w="900" w:type="dxa"/>
            <w:tcBorders>
              <w:top w:val="nil"/>
              <w:bottom w:val="single" w:sz="4" w:space="0" w:color="auto"/>
            </w:tcBorders>
            <w:vAlign w:val="center"/>
          </w:tcPr>
          <w:p w14:paraId="7720CAC2" w14:textId="77777777" w:rsidR="00A81582" w:rsidRPr="00574185" w:rsidRDefault="00A81582" w:rsidP="00A679F7">
            <w:pPr>
              <w:adjustRightInd w:val="0"/>
              <w:jc w:val="center"/>
              <w:rPr>
                <w:rFonts w:ascii="Times New Roman" w:hAnsi="Times New Roman" w:cs="Times New Roman"/>
                <w:sz w:val="18"/>
                <w:szCs w:val="18"/>
              </w:rPr>
            </w:pPr>
            <w:r w:rsidRPr="00574185">
              <w:rPr>
                <w:rFonts w:ascii="Times New Roman" w:hAnsi="Times New Roman" w:cs="Times New Roman"/>
                <w:sz w:val="18"/>
                <w:szCs w:val="18"/>
              </w:rPr>
              <w:t>+</w:t>
            </w:r>
          </w:p>
        </w:tc>
      </w:tr>
      <w:tr w:rsidR="00A81582" w:rsidRPr="00502B21" w14:paraId="24E1224C" w14:textId="77777777" w:rsidTr="00A679F7">
        <w:trPr>
          <w:trHeight w:val="263"/>
          <w:jc w:val="center"/>
        </w:trPr>
        <w:tc>
          <w:tcPr>
            <w:tcW w:w="1260" w:type="dxa"/>
            <w:vMerge w:val="restart"/>
            <w:tcBorders>
              <w:top w:val="single" w:sz="4" w:space="0" w:color="auto"/>
              <w:bottom w:val="nil"/>
            </w:tcBorders>
            <w:vAlign w:val="center"/>
          </w:tcPr>
          <w:p w14:paraId="2BEDA9AE" w14:textId="77777777" w:rsidR="00A81582" w:rsidRPr="00574185" w:rsidRDefault="00A81582" w:rsidP="00A679F7">
            <w:pPr>
              <w:jc w:val="center"/>
              <w:textAlignment w:val="center"/>
              <w:rPr>
                <w:rFonts w:ascii="Times New Roman" w:hAnsi="Times New Roman" w:cs="Times New Roman"/>
                <w:sz w:val="18"/>
                <w:szCs w:val="18"/>
              </w:rPr>
            </w:pPr>
            <w:r w:rsidRPr="00574185">
              <w:rPr>
                <w:rFonts w:ascii="Times New Roman" w:hAnsi="Times New Roman" w:cs="Times New Roman"/>
                <w:sz w:val="18"/>
                <w:szCs w:val="18"/>
              </w:rPr>
              <w:t>Open development</w:t>
            </w:r>
          </w:p>
        </w:tc>
        <w:tc>
          <w:tcPr>
            <w:tcW w:w="5040" w:type="dxa"/>
            <w:tcBorders>
              <w:top w:val="single" w:sz="4" w:space="0" w:color="auto"/>
              <w:bottom w:val="nil"/>
            </w:tcBorders>
          </w:tcPr>
          <w:p w14:paraId="57934DC7" w14:textId="77777777" w:rsidR="00A81582" w:rsidRPr="00574185" w:rsidRDefault="00A81582" w:rsidP="00A679F7">
            <w:pPr>
              <w:adjustRightInd w:val="0"/>
              <w:jc w:val="left"/>
              <w:textAlignment w:val="center"/>
              <w:rPr>
                <w:rFonts w:ascii="Times New Roman" w:hAnsi="Times New Roman" w:cs="Times New Roman"/>
                <w:sz w:val="18"/>
                <w:szCs w:val="18"/>
              </w:rPr>
            </w:pPr>
            <w:r w:rsidRPr="00574185">
              <w:rPr>
                <w:rFonts w:ascii="Times New Roman" w:hAnsi="Times New Roman" w:cs="Times New Roman"/>
                <w:sz w:val="18"/>
                <w:szCs w:val="18"/>
              </w:rPr>
              <w:t>Proportion of foreign direct investment in GDP</w:t>
            </w:r>
          </w:p>
        </w:tc>
        <w:tc>
          <w:tcPr>
            <w:tcW w:w="1710" w:type="dxa"/>
            <w:tcBorders>
              <w:top w:val="single" w:sz="4" w:space="0" w:color="auto"/>
              <w:bottom w:val="nil"/>
            </w:tcBorders>
            <w:vAlign w:val="center"/>
          </w:tcPr>
          <w:p w14:paraId="491BB5C4" w14:textId="77777777" w:rsidR="00A81582" w:rsidRPr="00574185" w:rsidRDefault="00A81582" w:rsidP="00A679F7">
            <w:pPr>
              <w:adjustRightInd w:val="0"/>
              <w:jc w:val="center"/>
              <w:rPr>
                <w:rFonts w:ascii="Times New Roman" w:hAnsi="Times New Roman" w:cs="Times New Roman"/>
                <w:sz w:val="18"/>
                <w:szCs w:val="18"/>
              </w:rPr>
            </w:pPr>
            <w:r w:rsidRPr="00574185">
              <w:rPr>
                <w:rFonts w:ascii="Times New Roman" w:hAnsi="Times New Roman" w:cs="Times New Roman"/>
                <w:sz w:val="18"/>
                <w:szCs w:val="18"/>
              </w:rPr>
              <w:t>%</w:t>
            </w:r>
          </w:p>
        </w:tc>
        <w:tc>
          <w:tcPr>
            <w:tcW w:w="900" w:type="dxa"/>
            <w:tcBorders>
              <w:top w:val="single" w:sz="4" w:space="0" w:color="auto"/>
              <w:bottom w:val="nil"/>
            </w:tcBorders>
            <w:vAlign w:val="center"/>
          </w:tcPr>
          <w:p w14:paraId="4718FE50" w14:textId="77777777" w:rsidR="00A81582" w:rsidRPr="00574185" w:rsidRDefault="00A81582" w:rsidP="00A679F7">
            <w:pPr>
              <w:adjustRightInd w:val="0"/>
              <w:jc w:val="center"/>
              <w:rPr>
                <w:rFonts w:ascii="Times New Roman" w:hAnsi="Times New Roman" w:cs="Times New Roman"/>
                <w:sz w:val="18"/>
                <w:szCs w:val="18"/>
              </w:rPr>
            </w:pPr>
            <w:r w:rsidRPr="00574185">
              <w:rPr>
                <w:rFonts w:ascii="Times New Roman" w:hAnsi="Times New Roman" w:cs="Times New Roman"/>
                <w:sz w:val="18"/>
                <w:szCs w:val="18"/>
              </w:rPr>
              <w:t>+</w:t>
            </w:r>
          </w:p>
        </w:tc>
      </w:tr>
      <w:tr w:rsidR="00A81582" w:rsidRPr="00502B21" w14:paraId="6A089603" w14:textId="77777777" w:rsidTr="00A679F7">
        <w:trPr>
          <w:trHeight w:val="311"/>
          <w:jc w:val="center"/>
        </w:trPr>
        <w:tc>
          <w:tcPr>
            <w:tcW w:w="1260" w:type="dxa"/>
            <w:vMerge/>
            <w:tcBorders>
              <w:top w:val="nil"/>
              <w:bottom w:val="single" w:sz="4" w:space="0" w:color="auto"/>
            </w:tcBorders>
          </w:tcPr>
          <w:p w14:paraId="6BED9247" w14:textId="77777777" w:rsidR="00A81582" w:rsidRPr="00574185" w:rsidRDefault="00A81582" w:rsidP="00A679F7">
            <w:pPr>
              <w:jc w:val="center"/>
              <w:rPr>
                <w:rFonts w:ascii="Times New Roman" w:hAnsi="Times New Roman" w:cs="Times New Roman"/>
                <w:sz w:val="18"/>
                <w:szCs w:val="18"/>
              </w:rPr>
            </w:pPr>
          </w:p>
        </w:tc>
        <w:tc>
          <w:tcPr>
            <w:tcW w:w="5040" w:type="dxa"/>
            <w:tcBorders>
              <w:top w:val="nil"/>
              <w:bottom w:val="single" w:sz="4" w:space="0" w:color="auto"/>
            </w:tcBorders>
          </w:tcPr>
          <w:p w14:paraId="14119160" w14:textId="77777777" w:rsidR="00A81582" w:rsidRPr="00574185" w:rsidRDefault="00A81582" w:rsidP="00A679F7">
            <w:pPr>
              <w:adjustRightInd w:val="0"/>
              <w:jc w:val="left"/>
              <w:textAlignment w:val="center"/>
              <w:rPr>
                <w:rFonts w:ascii="Times New Roman" w:hAnsi="Times New Roman" w:cs="Times New Roman"/>
                <w:sz w:val="18"/>
                <w:szCs w:val="18"/>
              </w:rPr>
            </w:pPr>
            <w:r w:rsidRPr="00574185">
              <w:rPr>
                <w:rFonts w:ascii="Times New Roman" w:hAnsi="Times New Roman" w:cs="Times New Roman"/>
                <w:sz w:val="18"/>
                <w:szCs w:val="18"/>
              </w:rPr>
              <w:t>Proportion of total import and export volume in GDP</w:t>
            </w:r>
          </w:p>
        </w:tc>
        <w:tc>
          <w:tcPr>
            <w:tcW w:w="1710" w:type="dxa"/>
            <w:tcBorders>
              <w:top w:val="nil"/>
              <w:bottom w:val="single" w:sz="4" w:space="0" w:color="auto"/>
            </w:tcBorders>
            <w:vAlign w:val="center"/>
          </w:tcPr>
          <w:p w14:paraId="0102D2CA" w14:textId="77777777" w:rsidR="00A81582" w:rsidRPr="00574185" w:rsidRDefault="00A81582" w:rsidP="00A679F7">
            <w:pPr>
              <w:adjustRightInd w:val="0"/>
              <w:jc w:val="center"/>
              <w:rPr>
                <w:rFonts w:ascii="Times New Roman" w:hAnsi="Times New Roman" w:cs="Times New Roman"/>
                <w:sz w:val="18"/>
                <w:szCs w:val="18"/>
              </w:rPr>
            </w:pPr>
            <w:r w:rsidRPr="00574185">
              <w:rPr>
                <w:rFonts w:ascii="Times New Roman" w:hAnsi="Times New Roman" w:cs="Times New Roman"/>
                <w:sz w:val="18"/>
                <w:szCs w:val="18"/>
              </w:rPr>
              <w:t>%</w:t>
            </w:r>
          </w:p>
        </w:tc>
        <w:tc>
          <w:tcPr>
            <w:tcW w:w="900" w:type="dxa"/>
            <w:tcBorders>
              <w:top w:val="nil"/>
              <w:bottom w:val="single" w:sz="4" w:space="0" w:color="auto"/>
            </w:tcBorders>
            <w:vAlign w:val="center"/>
          </w:tcPr>
          <w:p w14:paraId="645D4AB9" w14:textId="77777777" w:rsidR="00A81582" w:rsidRPr="00574185" w:rsidRDefault="00A81582" w:rsidP="00A679F7">
            <w:pPr>
              <w:adjustRightInd w:val="0"/>
              <w:jc w:val="center"/>
              <w:rPr>
                <w:rFonts w:ascii="Times New Roman" w:hAnsi="Times New Roman" w:cs="Times New Roman"/>
                <w:sz w:val="18"/>
                <w:szCs w:val="18"/>
              </w:rPr>
            </w:pPr>
            <w:r w:rsidRPr="00574185">
              <w:rPr>
                <w:rFonts w:ascii="Times New Roman" w:hAnsi="Times New Roman" w:cs="Times New Roman"/>
                <w:sz w:val="18"/>
                <w:szCs w:val="18"/>
              </w:rPr>
              <w:t>+</w:t>
            </w:r>
          </w:p>
        </w:tc>
      </w:tr>
      <w:tr w:rsidR="00A81582" w:rsidRPr="00502B21" w14:paraId="3D33B747" w14:textId="77777777" w:rsidTr="00A679F7">
        <w:trPr>
          <w:trHeight w:val="287"/>
          <w:jc w:val="center"/>
        </w:trPr>
        <w:tc>
          <w:tcPr>
            <w:tcW w:w="1260" w:type="dxa"/>
            <w:vMerge w:val="restart"/>
            <w:tcBorders>
              <w:top w:val="single" w:sz="4" w:space="0" w:color="auto"/>
            </w:tcBorders>
            <w:vAlign w:val="center"/>
          </w:tcPr>
          <w:p w14:paraId="666FF197" w14:textId="77777777" w:rsidR="00A81582" w:rsidRPr="00574185" w:rsidRDefault="00A81582" w:rsidP="00A679F7">
            <w:pPr>
              <w:jc w:val="center"/>
              <w:textAlignment w:val="center"/>
              <w:rPr>
                <w:rFonts w:ascii="Times New Roman" w:hAnsi="Times New Roman" w:cs="Times New Roman"/>
                <w:sz w:val="18"/>
                <w:szCs w:val="18"/>
              </w:rPr>
            </w:pPr>
            <w:r w:rsidRPr="00574185">
              <w:rPr>
                <w:rFonts w:ascii="Times New Roman" w:hAnsi="Times New Roman" w:cs="Times New Roman"/>
                <w:sz w:val="18"/>
                <w:szCs w:val="18"/>
              </w:rPr>
              <w:t>Shared development</w:t>
            </w:r>
          </w:p>
        </w:tc>
        <w:tc>
          <w:tcPr>
            <w:tcW w:w="5040" w:type="dxa"/>
            <w:tcBorders>
              <w:top w:val="single" w:sz="4" w:space="0" w:color="auto"/>
            </w:tcBorders>
          </w:tcPr>
          <w:p w14:paraId="6F941B66" w14:textId="77777777" w:rsidR="00A81582" w:rsidRPr="00574185" w:rsidRDefault="00A81582" w:rsidP="00A679F7">
            <w:pPr>
              <w:adjustRightInd w:val="0"/>
              <w:jc w:val="left"/>
              <w:textAlignment w:val="center"/>
              <w:rPr>
                <w:rFonts w:ascii="Times New Roman" w:hAnsi="Times New Roman" w:cs="Times New Roman"/>
                <w:sz w:val="18"/>
                <w:szCs w:val="18"/>
              </w:rPr>
            </w:pPr>
            <w:r w:rsidRPr="00574185">
              <w:rPr>
                <w:rFonts w:ascii="Times New Roman" w:hAnsi="Times New Roman" w:cs="Times New Roman"/>
                <w:sz w:val="18"/>
                <w:szCs w:val="18"/>
              </w:rPr>
              <w:t>Per capita education expenditure</w:t>
            </w:r>
          </w:p>
        </w:tc>
        <w:tc>
          <w:tcPr>
            <w:tcW w:w="1710" w:type="dxa"/>
            <w:tcBorders>
              <w:top w:val="single" w:sz="4" w:space="0" w:color="auto"/>
            </w:tcBorders>
            <w:vAlign w:val="center"/>
          </w:tcPr>
          <w:p w14:paraId="1FEC0753" w14:textId="77777777" w:rsidR="00A81582" w:rsidRPr="00574185" w:rsidRDefault="00A81582" w:rsidP="00A679F7">
            <w:pPr>
              <w:adjustRightInd w:val="0"/>
              <w:jc w:val="center"/>
              <w:rPr>
                <w:rFonts w:ascii="Times New Roman" w:hAnsi="Times New Roman" w:cs="Times New Roman"/>
                <w:sz w:val="18"/>
                <w:szCs w:val="18"/>
              </w:rPr>
            </w:pPr>
            <w:r w:rsidRPr="00574185">
              <w:rPr>
                <w:rFonts w:ascii="Times New Roman" w:hAnsi="Times New Roman" w:cs="Times New Roman"/>
                <w:sz w:val="18"/>
                <w:szCs w:val="18"/>
              </w:rPr>
              <w:t>CNY/person</w:t>
            </w:r>
          </w:p>
        </w:tc>
        <w:tc>
          <w:tcPr>
            <w:tcW w:w="900" w:type="dxa"/>
            <w:tcBorders>
              <w:top w:val="single" w:sz="4" w:space="0" w:color="auto"/>
            </w:tcBorders>
            <w:vAlign w:val="center"/>
          </w:tcPr>
          <w:p w14:paraId="3CE1CAF4" w14:textId="77777777" w:rsidR="00A81582" w:rsidRPr="00574185" w:rsidRDefault="00A81582" w:rsidP="00A679F7">
            <w:pPr>
              <w:adjustRightInd w:val="0"/>
              <w:jc w:val="center"/>
              <w:rPr>
                <w:rFonts w:ascii="Times New Roman" w:hAnsi="Times New Roman" w:cs="Times New Roman"/>
                <w:sz w:val="18"/>
                <w:szCs w:val="18"/>
              </w:rPr>
            </w:pPr>
            <w:r w:rsidRPr="00574185">
              <w:rPr>
                <w:rFonts w:ascii="Times New Roman" w:hAnsi="Times New Roman" w:cs="Times New Roman"/>
                <w:sz w:val="18"/>
                <w:szCs w:val="18"/>
              </w:rPr>
              <w:t>+</w:t>
            </w:r>
          </w:p>
        </w:tc>
      </w:tr>
      <w:tr w:rsidR="00A81582" w:rsidRPr="00502B21" w14:paraId="3E08A05A" w14:textId="77777777" w:rsidTr="00A679F7">
        <w:trPr>
          <w:trHeight w:val="311"/>
          <w:jc w:val="center"/>
        </w:trPr>
        <w:tc>
          <w:tcPr>
            <w:tcW w:w="1260" w:type="dxa"/>
            <w:vMerge/>
          </w:tcPr>
          <w:p w14:paraId="040AE0F5" w14:textId="77777777" w:rsidR="00A81582" w:rsidRPr="00574185" w:rsidRDefault="00A81582" w:rsidP="00A679F7">
            <w:pPr>
              <w:jc w:val="center"/>
              <w:rPr>
                <w:rFonts w:ascii="Times New Roman" w:hAnsi="Times New Roman" w:cs="Times New Roman"/>
                <w:sz w:val="18"/>
                <w:szCs w:val="18"/>
              </w:rPr>
            </w:pPr>
          </w:p>
        </w:tc>
        <w:tc>
          <w:tcPr>
            <w:tcW w:w="5040" w:type="dxa"/>
          </w:tcPr>
          <w:p w14:paraId="3064D964" w14:textId="77777777" w:rsidR="00A81582" w:rsidRPr="00574185" w:rsidRDefault="00A81582" w:rsidP="00A679F7">
            <w:pPr>
              <w:adjustRightInd w:val="0"/>
              <w:jc w:val="left"/>
              <w:textAlignment w:val="center"/>
              <w:rPr>
                <w:rFonts w:ascii="Times New Roman" w:hAnsi="Times New Roman" w:cs="Times New Roman"/>
                <w:sz w:val="18"/>
                <w:szCs w:val="18"/>
              </w:rPr>
            </w:pPr>
            <w:r w:rsidRPr="00574185">
              <w:rPr>
                <w:rFonts w:ascii="Times New Roman" w:hAnsi="Times New Roman" w:cs="Times New Roman"/>
                <w:sz w:val="18"/>
                <w:szCs w:val="18"/>
              </w:rPr>
              <w:t>Per capita number of beds in medical and health institutions</w:t>
            </w:r>
          </w:p>
        </w:tc>
        <w:tc>
          <w:tcPr>
            <w:tcW w:w="1710" w:type="dxa"/>
            <w:vAlign w:val="center"/>
          </w:tcPr>
          <w:p w14:paraId="27F4A89F" w14:textId="77777777" w:rsidR="00A81582" w:rsidRPr="00574185" w:rsidRDefault="00A81582" w:rsidP="00A679F7">
            <w:pPr>
              <w:adjustRightInd w:val="0"/>
              <w:jc w:val="center"/>
              <w:rPr>
                <w:rFonts w:ascii="Times New Roman" w:hAnsi="Times New Roman" w:cs="Times New Roman"/>
                <w:sz w:val="18"/>
                <w:szCs w:val="18"/>
              </w:rPr>
            </w:pPr>
            <w:r>
              <w:rPr>
                <w:rFonts w:ascii="Times New Roman" w:hAnsi="Times New Roman" w:cs="Times New Roman" w:hint="eastAsia"/>
                <w:sz w:val="18"/>
                <w:szCs w:val="18"/>
              </w:rPr>
              <w:t>B</w:t>
            </w:r>
            <w:r w:rsidRPr="00574185">
              <w:rPr>
                <w:rFonts w:ascii="Times New Roman" w:hAnsi="Times New Roman" w:cs="Times New Roman"/>
                <w:sz w:val="18"/>
                <w:szCs w:val="18"/>
              </w:rPr>
              <w:t>ed/person</w:t>
            </w:r>
          </w:p>
        </w:tc>
        <w:tc>
          <w:tcPr>
            <w:tcW w:w="900" w:type="dxa"/>
            <w:vAlign w:val="center"/>
          </w:tcPr>
          <w:p w14:paraId="6FF5A6B0" w14:textId="77777777" w:rsidR="00A81582" w:rsidRPr="00574185" w:rsidRDefault="00A81582" w:rsidP="00A679F7">
            <w:pPr>
              <w:adjustRightInd w:val="0"/>
              <w:jc w:val="center"/>
              <w:rPr>
                <w:rFonts w:ascii="Times New Roman" w:hAnsi="Times New Roman" w:cs="Times New Roman"/>
                <w:sz w:val="18"/>
                <w:szCs w:val="18"/>
              </w:rPr>
            </w:pPr>
            <w:r w:rsidRPr="00574185">
              <w:rPr>
                <w:rFonts w:ascii="Times New Roman" w:hAnsi="Times New Roman" w:cs="Times New Roman"/>
                <w:sz w:val="18"/>
                <w:szCs w:val="18"/>
              </w:rPr>
              <w:t>+</w:t>
            </w:r>
          </w:p>
        </w:tc>
      </w:tr>
      <w:tr w:rsidR="00A81582" w:rsidRPr="00502B21" w14:paraId="056D30B4" w14:textId="77777777" w:rsidTr="00A679F7">
        <w:trPr>
          <w:trHeight w:val="311"/>
          <w:jc w:val="center"/>
        </w:trPr>
        <w:tc>
          <w:tcPr>
            <w:tcW w:w="1260" w:type="dxa"/>
            <w:vMerge/>
          </w:tcPr>
          <w:p w14:paraId="6BFC849E" w14:textId="77777777" w:rsidR="00A81582" w:rsidRPr="00574185" w:rsidRDefault="00A81582" w:rsidP="00A679F7">
            <w:pPr>
              <w:jc w:val="center"/>
              <w:rPr>
                <w:rFonts w:ascii="Times New Roman" w:hAnsi="Times New Roman" w:cs="Times New Roman"/>
                <w:sz w:val="18"/>
                <w:szCs w:val="18"/>
              </w:rPr>
            </w:pPr>
          </w:p>
        </w:tc>
        <w:tc>
          <w:tcPr>
            <w:tcW w:w="5040" w:type="dxa"/>
          </w:tcPr>
          <w:p w14:paraId="51789F21" w14:textId="77777777" w:rsidR="00A81582" w:rsidRPr="00574185" w:rsidRDefault="00A81582" w:rsidP="00A679F7">
            <w:pPr>
              <w:adjustRightInd w:val="0"/>
              <w:jc w:val="left"/>
              <w:textAlignment w:val="center"/>
              <w:rPr>
                <w:rFonts w:ascii="Times New Roman" w:hAnsi="Times New Roman" w:cs="Times New Roman"/>
                <w:sz w:val="18"/>
                <w:szCs w:val="18"/>
              </w:rPr>
            </w:pPr>
            <w:r w:rsidRPr="00574185">
              <w:rPr>
                <w:rFonts w:ascii="Times New Roman" w:hAnsi="Times New Roman" w:cs="Times New Roman"/>
                <w:sz w:val="18"/>
                <w:szCs w:val="18"/>
              </w:rPr>
              <w:t>Per capita public library collection</w:t>
            </w:r>
          </w:p>
        </w:tc>
        <w:tc>
          <w:tcPr>
            <w:tcW w:w="1710" w:type="dxa"/>
            <w:vAlign w:val="center"/>
          </w:tcPr>
          <w:p w14:paraId="1B7D870A" w14:textId="77777777" w:rsidR="00A81582" w:rsidRPr="00574185" w:rsidRDefault="00A81582" w:rsidP="00A679F7">
            <w:pPr>
              <w:adjustRightInd w:val="0"/>
              <w:jc w:val="center"/>
              <w:rPr>
                <w:rFonts w:ascii="Times New Roman" w:hAnsi="Times New Roman" w:cs="Times New Roman"/>
                <w:sz w:val="18"/>
                <w:szCs w:val="18"/>
              </w:rPr>
            </w:pPr>
            <w:r w:rsidRPr="00574185">
              <w:rPr>
                <w:rFonts w:ascii="Times New Roman" w:hAnsi="Times New Roman" w:cs="Times New Roman"/>
                <w:sz w:val="18"/>
                <w:szCs w:val="18"/>
              </w:rPr>
              <w:t>Volume/person</w:t>
            </w:r>
          </w:p>
        </w:tc>
        <w:tc>
          <w:tcPr>
            <w:tcW w:w="900" w:type="dxa"/>
            <w:vAlign w:val="center"/>
          </w:tcPr>
          <w:p w14:paraId="39B23A23" w14:textId="77777777" w:rsidR="00A81582" w:rsidRPr="00574185" w:rsidRDefault="00A81582" w:rsidP="00A679F7">
            <w:pPr>
              <w:adjustRightInd w:val="0"/>
              <w:jc w:val="center"/>
              <w:rPr>
                <w:rFonts w:ascii="Times New Roman" w:hAnsi="Times New Roman" w:cs="Times New Roman"/>
                <w:sz w:val="18"/>
                <w:szCs w:val="18"/>
              </w:rPr>
            </w:pPr>
            <w:r w:rsidRPr="00574185">
              <w:rPr>
                <w:rFonts w:ascii="Times New Roman" w:hAnsi="Times New Roman" w:cs="Times New Roman"/>
                <w:sz w:val="18"/>
                <w:szCs w:val="18"/>
              </w:rPr>
              <w:t>+</w:t>
            </w:r>
          </w:p>
        </w:tc>
      </w:tr>
      <w:tr w:rsidR="00A81582" w:rsidRPr="00502B21" w14:paraId="39F210CB" w14:textId="77777777" w:rsidTr="00A679F7">
        <w:trPr>
          <w:trHeight w:val="311"/>
          <w:jc w:val="center"/>
        </w:trPr>
        <w:tc>
          <w:tcPr>
            <w:tcW w:w="1260" w:type="dxa"/>
            <w:vMerge/>
          </w:tcPr>
          <w:p w14:paraId="48F210A7" w14:textId="77777777" w:rsidR="00A81582" w:rsidRPr="00574185" w:rsidRDefault="00A81582" w:rsidP="00A679F7">
            <w:pPr>
              <w:jc w:val="center"/>
              <w:rPr>
                <w:rFonts w:ascii="Times New Roman" w:hAnsi="Times New Roman" w:cs="Times New Roman"/>
                <w:sz w:val="18"/>
                <w:szCs w:val="18"/>
              </w:rPr>
            </w:pPr>
          </w:p>
        </w:tc>
        <w:tc>
          <w:tcPr>
            <w:tcW w:w="5040" w:type="dxa"/>
          </w:tcPr>
          <w:p w14:paraId="0975B767" w14:textId="77777777" w:rsidR="00A81582" w:rsidRPr="00574185" w:rsidRDefault="00A81582" w:rsidP="00A679F7">
            <w:pPr>
              <w:adjustRightInd w:val="0"/>
              <w:jc w:val="left"/>
              <w:textAlignment w:val="center"/>
              <w:rPr>
                <w:rFonts w:ascii="Times New Roman" w:hAnsi="Times New Roman" w:cs="Times New Roman"/>
                <w:sz w:val="18"/>
                <w:szCs w:val="18"/>
              </w:rPr>
            </w:pPr>
            <w:r w:rsidRPr="00574185">
              <w:rPr>
                <w:rFonts w:ascii="Times New Roman" w:hAnsi="Times New Roman" w:cs="Times New Roman"/>
                <w:sz w:val="18"/>
                <w:szCs w:val="18"/>
              </w:rPr>
              <w:t>Per capita expenditure on social security and employment</w:t>
            </w:r>
          </w:p>
        </w:tc>
        <w:tc>
          <w:tcPr>
            <w:tcW w:w="1710" w:type="dxa"/>
            <w:vAlign w:val="center"/>
          </w:tcPr>
          <w:p w14:paraId="0409B101" w14:textId="77777777" w:rsidR="00A81582" w:rsidRPr="00574185" w:rsidRDefault="00A81582" w:rsidP="00A679F7">
            <w:pPr>
              <w:adjustRightInd w:val="0"/>
              <w:jc w:val="center"/>
              <w:rPr>
                <w:rFonts w:ascii="Times New Roman" w:hAnsi="Times New Roman" w:cs="Times New Roman"/>
                <w:sz w:val="18"/>
                <w:szCs w:val="18"/>
              </w:rPr>
            </w:pPr>
            <w:r w:rsidRPr="00574185">
              <w:rPr>
                <w:rFonts w:ascii="Times New Roman" w:hAnsi="Times New Roman" w:cs="Times New Roman"/>
                <w:sz w:val="18"/>
                <w:szCs w:val="18"/>
              </w:rPr>
              <w:t>CNY/person</w:t>
            </w:r>
          </w:p>
        </w:tc>
        <w:tc>
          <w:tcPr>
            <w:tcW w:w="900" w:type="dxa"/>
            <w:vAlign w:val="center"/>
          </w:tcPr>
          <w:p w14:paraId="02D82AE4" w14:textId="77777777" w:rsidR="00A81582" w:rsidRPr="00574185" w:rsidRDefault="00A81582" w:rsidP="00A679F7">
            <w:pPr>
              <w:adjustRightInd w:val="0"/>
              <w:jc w:val="center"/>
              <w:rPr>
                <w:rFonts w:ascii="Times New Roman" w:hAnsi="Times New Roman" w:cs="Times New Roman"/>
                <w:sz w:val="18"/>
                <w:szCs w:val="18"/>
              </w:rPr>
            </w:pPr>
            <w:r w:rsidRPr="00574185">
              <w:rPr>
                <w:rFonts w:ascii="Times New Roman" w:hAnsi="Times New Roman" w:cs="Times New Roman"/>
                <w:sz w:val="18"/>
                <w:szCs w:val="18"/>
              </w:rPr>
              <w:t>+</w:t>
            </w:r>
          </w:p>
        </w:tc>
      </w:tr>
    </w:tbl>
    <w:p w14:paraId="167B1CC9" w14:textId="77777777" w:rsidR="00A81582" w:rsidRPr="008246B9" w:rsidRDefault="00A81582" w:rsidP="00A81582">
      <w:pPr>
        <w:ind w:firstLineChars="200" w:firstLine="300"/>
        <w:rPr>
          <w:rFonts w:ascii="Times New Roman" w:hAnsi="Times New Roman" w:cs="Times New Roman"/>
          <w:sz w:val="24"/>
        </w:rPr>
      </w:pPr>
      <w:r w:rsidRPr="008246B9">
        <w:rPr>
          <w:rFonts w:ascii="Times New Roman" w:hAnsi="Times New Roman" w:cs="Times New Roman"/>
          <w:sz w:val="15"/>
          <w:szCs w:val="15"/>
        </w:rPr>
        <w:t>Note: "+" and "-" respectively indicate that the indicator is a positive indicator and a negative indicator.</w:t>
      </w:r>
    </w:p>
    <w:p w14:paraId="0C0BF7C1" w14:textId="77777777" w:rsidR="00A81582" w:rsidRDefault="00A81582" w:rsidP="00A81582">
      <w:pPr>
        <w:rPr>
          <w:rFonts w:ascii="Times New Roman" w:hAnsi="Times New Roman" w:cs="Times New Roman"/>
        </w:rPr>
      </w:pPr>
    </w:p>
    <w:p w14:paraId="422C6B73" w14:textId="77777777" w:rsidR="00A81582" w:rsidRPr="008246B9" w:rsidRDefault="00A81582" w:rsidP="00A81582">
      <w:pPr>
        <w:ind w:firstLineChars="200" w:firstLine="420"/>
        <w:rPr>
          <w:rFonts w:ascii="Times New Roman" w:hAnsi="Times New Roman" w:cs="Times New Roman"/>
        </w:rPr>
      </w:pPr>
      <w:r w:rsidRPr="008246B9">
        <w:rPr>
          <w:rFonts w:ascii="Times New Roman" w:hAnsi="Times New Roman" w:cs="Times New Roman"/>
        </w:rPr>
        <w:t>(1) Innovative development. The YREB is an important engine of economic growth in China. The extensive development model that relied on factor driven development in the past is difficult to sustain. It is necessary to transform the economic growth mode, fully utilize science and technology, strengthen independent innovation capabilities, improve the transformation of scientific and technological achievements, and promote economic transformation and development through innovation. Innovative development is primarily reflected in two dimensions: innovation input and innovation output. Innovation input is characterized by two indicators: the proportion of science and technology expenditure in total fiscal expenditure and the proportion of science and technology personnel of all employees. Innovation output is represented by the number of patents granted per 10,000 people.</w:t>
      </w:r>
    </w:p>
    <w:p w14:paraId="3D22E76E" w14:textId="77777777" w:rsidR="00A81582" w:rsidRDefault="00A81582" w:rsidP="00A81582">
      <w:pPr>
        <w:rPr>
          <w:rFonts w:ascii="Times New Roman" w:hAnsi="Times New Roman" w:cs="Times New Roman"/>
        </w:rPr>
      </w:pPr>
    </w:p>
    <w:p w14:paraId="7F1539D4" w14:textId="77777777" w:rsidR="00A81582" w:rsidRPr="008246B9" w:rsidRDefault="00A81582" w:rsidP="00A81582">
      <w:pPr>
        <w:spacing w:line="300" w:lineRule="exact"/>
        <w:ind w:firstLineChars="200" w:firstLine="420"/>
        <w:rPr>
          <w:rFonts w:ascii="Times New Roman" w:hAnsi="Times New Roman" w:cs="Times New Roman"/>
        </w:rPr>
      </w:pPr>
      <w:r w:rsidRPr="008246B9">
        <w:rPr>
          <w:rFonts w:ascii="Times New Roman" w:hAnsi="Times New Roman" w:cs="Times New Roman"/>
        </w:rPr>
        <w:t xml:space="preserve">(2) Coordinated development. The YREB is a typical spatial heterogeneity region, where there </w:t>
      </w:r>
      <w:r w:rsidRPr="008246B9">
        <w:rPr>
          <w:rFonts w:ascii="Times New Roman" w:hAnsi="Times New Roman" w:cs="Times New Roman"/>
        </w:rPr>
        <w:lastRenderedPageBreak/>
        <w:t>are still development imbalances between regions and between urban and rural areas. Therefore, continuously reducing the economic development gap between regions and narrowing the urban-rural gap is of great significance for achieving HED in the YREB. This paper mainly examines the level of coordinated development from two aspects: regional coordination and urban-rural coordination. we refer to the research of Khan and Siddique (2021), and uses the per capita GDP Gini coefficient to reflect the gap in regional economic development levels, thereby revealing the regional coordination level. The ratio of per capita disposable income between urban and rural residents and the ratio of per capita consumption expenditure between urban and rural residents are selected as indicators to measure the level of urban-rural coordination.</w:t>
      </w:r>
    </w:p>
    <w:p w14:paraId="6C58762B" w14:textId="77777777" w:rsidR="00A81582" w:rsidRDefault="00A81582" w:rsidP="00A81582">
      <w:pPr>
        <w:spacing w:line="300" w:lineRule="exact"/>
        <w:rPr>
          <w:rFonts w:ascii="Times New Roman" w:hAnsi="Times New Roman" w:cs="Times New Roman"/>
        </w:rPr>
      </w:pPr>
    </w:p>
    <w:p w14:paraId="18BA4F14" w14:textId="77777777" w:rsidR="00A81582" w:rsidRPr="008246B9" w:rsidRDefault="00A81582" w:rsidP="00A81582">
      <w:pPr>
        <w:spacing w:line="300" w:lineRule="exact"/>
        <w:ind w:firstLineChars="200" w:firstLine="420"/>
        <w:rPr>
          <w:rFonts w:ascii="Times New Roman" w:hAnsi="Times New Roman" w:cs="Times New Roman"/>
        </w:rPr>
      </w:pPr>
      <w:r w:rsidRPr="008246B9">
        <w:rPr>
          <w:rFonts w:ascii="Times New Roman" w:hAnsi="Times New Roman" w:cs="Times New Roman"/>
        </w:rPr>
        <w:t>(3) Green development. The YREB is a pioneer demonstration zone for ecological civilization construction in China. It is essential to prioritize ecological environment protection, reduce pollution emissions, make rational use of resources, and promote the green and sustainable development of the YREB. This paper reflects the level of green development from the four dimensions: resource consumption, pollution reduction, environmental governance, and greening construction. It selects four indicators to represent these dimensions: energy consumption per unit of GDP, sulfur dioxide emissions per unit of GDP, comprehensive utilization rate of industrial solid waste, and greening coverage rate of built-up areas.</w:t>
      </w:r>
    </w:p>
    <w:p w14:paraId="3E7864B1" w14:textId="77777777" w:rsidR="00A81582" w:rsidRDefault="00A81582" w:rsidP="00A81582">
      <w:pPr>
        <w:spacing w:line="300" w:lineRule="exact"/>
        <w:rPr>
          <w:rFonts w:ascii="Times New Roman" w:hAnsi="Times New Roman" w:cs="Times New Roman"/>
        </w:rPr>
      </w:pPr>
    </w:p>
    <w:p w14:paraId="2BBBBD82" w14:textId="77777777" w:rsidR="00A81582" w:rsidRPr="008246B9" w:rsidRDefault="00A81582" w:rsidP="00A81582">
      <w:pPr>
        <w:spacing w:line="300" w:lineRule="exact"/>
        <w:ind w:firstLineChars="200" w:firstLine="420"/>
        <w:rPr>
          <w:rFonts w:ascii="Times New Roman" w:hAnsi="Times New Roman" w:cs="Times New Roman"/>
        </w:rPr>
      </w:pPr>
      <w:r w:rsidRPr="008246B9">
        <w:rPr>
          <w:rFonts w:ascii="Times New Roman" w:hAnsi="Times New Roman" w:cs="Times New Roman"/>
        </w:rPr>
        <w:t>(4) Open development. As an important corridor for domestic and international cooperation and openness, the YREB should fully leverage the development opportunities brought by the “Belt and Road” Initiative, continuously promote cross-border and cross-regional trade exchanges, enhance the level of openness, and establish a new pattern of all-round openness. we primarily reflect the degree of openness from two dimensions: foreign investment and foreign trade, specifically measured by the proportion of foreign direct investment in GDP and the proportion of total imports and exports in GDP.</w:t>
      </w:r>
    </w:p>
    <w:p w14:paraId="5C61EA95" w14:textId="77777777" w:rsidR="00A81582" w:rsidRDefault="00A81582" w:rsidP="00A81582">
      <w:pPr>
        <w:spacing w:line="300" w:lineRule="exact"/>
        <w:rPr>
          <w:rFonts w:ascii="Times New Roman" w:hAnsi="Times New Roman" w:cs="Times New Roman"/>
        </w:rPr>
      </w:pPr>
    </w:p>
    <w:p w14:paraId="33714579" w14:textId="77777777" w:rsidR="00A81582" w:rsidRDefault="00A81582" w:rsidP="00A81582">
      <w:pPr>
        <w:spacing w:line="300" w:lineRule="exact"/>
        <w:ind w:firstLineChars="200" w:firstLine="420"/>
        <w:rPr>
          <w:rFonts w:ascii="Times New Roman" w:hAnsi="Times New Roman" w:cs="Times New Roman"/>
        </w:rPr>
      </w:pPr>
      <w:r w:rsidRPr="008246B9">
        <w:rPr>
          <w:rFonts w:ascii="Times New Roman" w:hAnsi="Times New Roman" w:cs="Times New Roman"/>
        </w:rPr>
        <w:t xml:space="preserve">(5) Shared development. The YREB gathers over </w:t>
      </w:r>
      <w:r>
        <w:rPr>
          <w:rFonts w:ascii="Times New Roman" w:hAnsi="Times New Roman" w:cs="Times New Roman" w:hint="eastAsia"/>
        </w:rPr>
        <w:t>40</w:t>
      </w:r>
      <w:r w:rsidRPr="008246B9">
        <w:rPr>
          <w:rFonts w:ascii="Times New Roman" w:hAnsi="Times New Roman" w:cs="Times New Roman"/>
        </w:rPr>
        <w:t>% of China's population and economic output. It is necessary to promote the HED of the YREB by adhering to people-centered development</w:t>
      </w:r>
      <w:r w:rsidRPr="008246B9">
        <w:rPr>
          <w:rFonts w:ascii="Times New Roman" w:hAnsi="Times New Roman" w:cs="Times New Roman"/>
        </w:rPr>
        <w:t>，</w:t>
      </w:r>
      <w:r w:rsidRPr="008246B9">
        <w:rPr>
          <w:rFonts w:ascii="Times New Roman" w:hAnsi="Times New Roman" w:cs="Times New Roman"/>
        </w:rPr>
        <w:t>laying a solid material foundation for the realization of people's better lives. we select four indicators, namely per capita education expenditure, per capita number of beds in medical and health institutions, per capita public library collection, and per capita expenditure on social security and employment, to respectively measure the welfare enjoyed by the people in terms of education, healthcare, culture, and social security, thereby reflecting the people's sense of fulfillment from economic achievements.</w:t>
      </w:r>
    </w:p>
    <w:p w14:paraId="1B8309A7" w14:textId="77777777" w:rsidR="00A81582" w:rsidRPr="008246B9" w:rsidRDefault="00A81582" w:rsidP="00A81582">
      <w:pPr>
        <w:spacing w:line="300" w:lineRule="exact"/>
        <w:rPr>
          <w:rFonts w:ascii="Times New Roman" w:hAnsi="Times New Roman" w:cs="Times New Roman"/>
        </w:rPr>
      </w:pPr>
    </w:p>
    <w:p w14:paraId="0D160537" w14:textId="64401B99" w:rsidR="00A81582" w:rsidRPr="007936A6" w:rsidRDefault="00A81582" w:rsidP="00A81582">
      <w:pPr>
        <w:spacing w:line="300" w:lineRule="exact"/>
        <w:outlineLvl w:val="2"/>
        <w:rPr>
          <w:rFonts w:ascii="Times New Roman" w:hAnsi="Times New Roman" w:cs="Times New Roman"/>
          <w:b/>
          <w:bCs/>
          <w:i/>
          <w:iCs/>
          <w:szCs w:val="21"/>
        </w:rPr>
      </w:pPr>
      <w:r w:rsidRPr="007936A6">
        <w:rPr>
          <w:rFonts w:ascii="Times New Roman" w:hAnsi="Times New Roman" w:cs="Times New Roman" w:hint="eastAsia"/>
          <w:b/>
          <w:bCs/>
          <w:i/>
          <w:iCs/>
          <w:szCs w:val="21"/>
        </w:rPr>
        <w:t>1</w:t>
      </w:r>
      <w:r w:rsidRPr="007936A6">
        <w:rPr>
          <w:rFonts w:ascii="Times New Roman" w:hAnsi="Times New Roman" w:cs="Times New Roman"/>
          <w:b/>
          <w:bCs/>
          <w:i/>
          <w:iCs/>
          <w:szCs w:val="21"/>
        </w:rPr>
        <w:t>.2 Core explanatory variable</w:t>
      </w:r>
    </w:p>
    <w:p w14:paraId="20D2D5A4" w14:textId="05CC2352" w:rsidR="00A81582" w:rsidRDefault="00A81582" w:rsidP="00A81582">
      <w:pPr>
        <w:spacing w:line="300" w:lineRule="exact"/>
        <w:ind w:firstLineChars="200" w:firstLine="420"/>
        <w:rPr>
          <w:rFonts w:ascii="Times New Roman" w:hAnsi="Times New Roman" w:cs="Times New Roman"/>
        </w:rPr>
      </w:pPr>
      <w:r w:rsidRPr="008246B9">
        <w:rPr>
          <w:rFonts w:ascii="Times New Roman" w:hAnsi="Times New Roman" w:cs="Times New Roman"/>
        </w:rPr>
        <w:t xml:space="preserve">Currently, </w:t>
      </w:r>
      <w:r>
        <w:rPr>
          <w:rFonts w:ascii="Times New Roman" w:hAnsi="Times New Roman" w:cs="Times New Roman"/>
        </w:rPr>
        <w:t xml:space="preserve">the </w:t>
      </w:r>
      <w:r w:rsidRPr="008246B9">
        <w:rPr>
          <w:rFonts w:ascii="Times New Roman" w:hAnsi="Times New Roman" w:cs="Times New Roman"/>
        </w:rPr>
        <w:t>commonly used measurement methods for LIA include location entropy, industrial concentration, spatial Gini coefficient, economic density index (Rivera et al.,2014). Given that the economic density index takes into account the spatial distribution differences of economic activities and overcomes spatial bias caused by regional area differences (Ciccone and Hall,1996), it usually calculates the industrial spatial agglomeration degree by using the employment density of a certain industry (Steijn et al.,2022), which can effectively reflect the agglomeration phenomenon of economic activities in unit space. Based on this, we use the logistics industry employment density index (the number of logistics industry employees divided by the city area) to measure the degree of LIA.</w:t>
      </w:r>
      <w:r w:rsidRPr="00A81582">
        <w:rPr>
          <w:rFonts w:ascii="Times New Roman" w:hAnsi="Times New Roman" w:cs="Times New Roman"/>
        </w:rPr>
        <w:t xml:space="preserve"> In this paper, the logistics industry employment density index is divided by 100, and only </w:t>
      </w:r>
      <w:r w:rsidRPr="00A81582">
        <w:rPr>
          <w:rFonts w:ascii="Times New Roman" w:hAnsi="Times New Roman" w:cs="Times New Roman"/>
        </w:rPr>
        <w:lastRenderedPageBreak/>
        <w:t>enlarges the regression coefficient by 100 times to reduce the decimal places of the regression coefficient, which will not have any impact on the model estimation or other variables.</w:t>
      </w:r>
    </w:p>
    <w:p w14:paraId="535AB311" w14:textId="77777777" w:rsidR="00A81582" w:rsidRPr="008246B9" w:rsidRDefault="00A81582" w:rsidP="00A81582">
      <w:pPr>
        <w:rPr>
          <w:rFonts w:ascii="Times New Roman" w:hAnsi="Times New Roman" w:cs="Times New Roman"/>
        </w:rPr>
      </w:pPr>
    </w:p>
    <w:p w14:paraId="59947FBF" w14:textId="79C4728B" w:rsidR="00A81582" w:rsidRPr="007936A6" w:rsidRDefault="00A81582" w:rsidP="00A81582">
      <w:pPr>
        <w:outlineLvl w:val="2"/>
        <w:rPr>
          <w:rFonts w:ascii="Times New Roman" w:hAnsi="Times New Roman" w:cs="Times New Roman"/>
          <w:b/>
          <w:bCs/>
          <w:i/>
          <w:iCs/>
        </w:rPr>
      </w:pPr>
      <w:r w:rsidRPr="007936A6">
        <w:rPr>
          <w:rFonts w:ascii="Times New Roman" w:hAnsi="Times New Roman" w:cs="Times New Roman" w:hint="eastAsia"/>
          <w:b/>
          <w:bCs/>
          <w:i/>
          <w:iCs/>
        </w:rPr>
        <w:t>1</w:t>
      </w:r>
      <w:r w:rsidRPr="007936A6">
        <w:rPr>
          <w:rFonts w:ascii="Times New Roman" w:hAnsi="Times New Roman" w:cs="Times New Roman"/>
          <w:b/>
          <w:bCs/>
          <w:i/>
          <w:iCs/>
        </w:rPr>
        <w:t>.3</w:t>
      </w:r>
      <w:r w:rsidRPr="007936A6">
        <w:rPr>
          <w:rFonts w:ascii="Times New Roman" w:hAnsi="Times New Roman" w:cs="Times New Roman" w:hint="eastAsia"/>
          <w:b/>
          <w:bCs/>
          <w:i/>
          <w:iCs/>
        </w:rPr>
        <w:t xml:space="preserve"> </w:t>
      </w:r>
      <w:r w:rsidRPr="007936A6">
        <w:rPr>
          <w:rFonts w:ascii="Times New Roman" w:hAnsi="Times New Roman" w:cs="Times New Roman"/>
          <w:b/>
          <w:bCs/>
          <w:i/>
          <w:iCs/>
        </w:rPr>
        <w:t>Control variables</w:t>
      </w:r>
    </w:p>
    <w:p w14:paraId="30F5A3CB" w14:textId="77777777" w:rsidR="00A81582" w:rsidRDefault="00A81582" w:rsidP="00A81582">
      <w:pPr>
        <w:ind w:firstLineChars="200" w:firstLine="420"/>
        <w:rPr>
          <w:rFonts w:ascii="Times New Roman" w:hAnsi="Times New Roman" w:cs="Times New Roman"/>
        </w:rPr>
      </w:pPr>
      <w:r w:rsidRPr="008246B9">
        <w:rPr>
          <w:rFonts w:ascii="Times New Roman" w:hAnsi="Times New Roman" w:cs="Times New Roman"/>
        </w:rPr>
        <w:t xml:space="preserve">Considering that HED is also influenced by other factors, referring to the existing research results </w:t>
      </w:r>
      <w:r w:rsidRPr="008246B9">
        <w:rPr>
          <w:rFonts w:ascii="Times New Roman" w:hAnsi="Times New Roman" w:cs="Times New Roman"/>
          <w:sz w:val="24"/>
        </w:rPr>
        <w:t>(</w:t>
      </w:r>
      <w:r w:rsidRPr="00F969A6">
        <w:rPr>
          <w:rFonts w:ascii="Times New Roman" w:hAnsi="Times New Roman" w:cs="Times New Roman" w:hint="eastAsia"/>
          <w:sz w:val="24"/>
        </w:rPr>
        <w:t>Yang</w:t>
      </w:r>
      <w:r w:rsidRPr="008246B9">
        <w:rPr>
          <w:rFonts w:ascii="Times New Roman" w:hAnsi="Times New Roman" w:cs="Times New Roman"/>
          <w:sz w:val="24"/>
        </w:rPr>
        <w:t xml:space="preserve"> et al.,202</w:t>
      </w:r>
      <w:r>
        <w:rPr>
          <w:rFonts w:ascii="Times New Roman" w:hAnsi="Times New Roman" w:cs="Times New Roman" w:hint="eastAsia"/>
          <w:sz w:val="24"/>
        </w:rPr>
        <w:t>3</w:t>
      </w:r>
      <w:r w:rsidRPr="008246B9">
        <w:rPr>
          <w:rFonts w:ascii="Times New Roman" w:hAnsi="Times New Roman" w:cs="Times New Roman"/>
          <w:sz w:val="24"/>
        </w:rPr>
        <w:t>;</w:t>
      </w:r>
      <w:r w:rsidRPr="008246B9">
        <w:rPr>
          <w:rFonts w:ascii="Times New Roman" w:hAnsi="Times New Roman" w:cs="Times New Roman"/>
        </w:rPr>
        <w:t xml:space="preserve"> Qu</w:t>
      </w:r>
      <w:r w:rsidRPr="008246B9">
        <w:rPr>
          <w:rFonts w:ascii="Times New Roman" w:hAnsi="Times New Roman" w:cs="Times New Roman"/>
          <w:sz w:val="24"/>
        </w:rPr>
        <w:t xml:space="preserve"> et al.,2022)</w:t>
      </w:r>
      <w:r w:rsidRPr="008246B9">
        <w:rPr>
          <w:rFonts w:ascii="Times New Roman" w:hAnsi="Times New Roman" w:cs="Times New Roman"/>
        </w:rPr>
        <w:t>, this paper selects five variables as control variables: fixed asset investment (IV), human capital (HC), government intervention (GOV), financial development level (FS) and urbanization (URB). Among these, IV is represented by the proportion of total fixed asset investment in GDP; HC is measured by the proportion of students enrolled in higher education to the total population; GOV is represented by the proportion of fiscal expenditures in GDP; FS is reflected by the proportion of total deposits of financial institutions to GDP; URB is measured by the proportion of urban population in the total population.</w:t>
      </w:r>
    </w:p>
    <w:p w14:paraId="74DDDB86" w14:textId="77777777" w:rsidR="00693801" w:rsidRDefault="00693801">
      <w:pPr>
        <w:rPr>
          <w:rFonts w:hint="eastAsia"/>
        </w:rPr>
      </w:pPr>
    </w:p>
    <w:p w14:paraId="2E230143" w14:textId="6EC37641" w:rsidR="00A81582" w:rsidRPr="00A81582" w:rsidRDefault="00A81582" w:rsidP="00B03A81">
      <w:pPr>
        <w:spacing w:beforeLines="50" w:before="156" w:afterLines="50" w:after="156"/>
        <w:rPr>
          <w:rFonts w:ascii="Times New Roman" w:hAnsi="Times New Roman" w:cs="Times New Roman"/>
          <w:b/>
          <w:bCs/>
        </w:rPr>
      </w:pPr>
      <w:r w:rsidRPr="00242122">
        <w:rPr>
          <w:rFonts w:ascii="Times New Roman" w:hAnsi="Times New Roman" w:cs="Times New Roman" w:hint="eastAsia"/>
          <w:b/>
          <w:bCs/>
        </w:rPr>
        <w:t>References</w:t>
      </w:r>
    </w:p>
    <w:p w14:paraId="238D3767" w14:textId="6864EB08" w:rsidR="00A81582" w:rsidRPr="00A81582" w:rsidRDefault="00A81582" w:rsidP="00A81582">
      <w:pPr>
        <w:ind w:left="420" w:hangingChars="200" w:hanging="420"/>
        <w:rPr>
          <w:rFonts w:ascii="Times New Roman" w:hAnsi="Times New Roman"/>
          <w:szCs w:val="21"/>
        </w:rPr>
      </w:pPr>
      <w:r w:rsidRPr="002F0565">
        <w:rPr>
          <w:rFonts w:ascii="Times New Roman" w:hAnsi="Times New Roman" w:cs="Times New Roman" w:hint="eastAsia"/>
          <w:szCs w:val="21"/>
        </w:rPr>
        <w:t>Ma, X.F., Zhang, R., Ruan, Y.F., 2023. How to evaluate the level of green development based on entropy weight TOPSIS: evidence from China. International Journal of Environmental Research and Public Health. 20 (3), 1707.</w:t>
      </w:r>
    </w:p>
    <w:p w14:paraId="69296A44" w14:textId="77777777" w:rsidR="00A81582" w:rsidRPr="002F0565" w:rsidRDefault="00A81582" w:rsidP="00A81582">
      <w:pPr>
        <w:ind w:left="420" w:hangingChars="200" w:hanging="420"/>
        <w:rPr>
          <w:rFonts w:ascii="Times New Roman" w:hAnsi="Times New Roman"/>
          <w:szCs w:val="21"/>
        </w:rPr>
      </w:pPr>
      <w:r w:rsidRPr="002F0565">
        <w:rPr>
          <w:rFonts w:ascii="Times New Roman" w:hAnsi="Times New Roman" w:cs="Times New Roman" w:hint="eastAsia"/>
          <w:szCs w:val="21"/>
        </w:rPr>
        <w:t>Khan, M.S., Siddique, A.B., 2021. Spatial analysis of regional and income inequality in the United States. Economies. 9 (4), 159.</w:t>
      </w:r>
    </w:p>
    <w:p w14:paraId="1D0A9C07" w14:textId="77777777" w:rsidR="00A81582" w:rsidRPr="002F0565" w:rsidRDefault="00A81582" w:rsidP="00A81582">
      <w:pPr>
        <w:ind w:left="420" w:hangingChars="200" w:hanging="420"/>
        <w:rPr>
          <w:rFonts w:ascii="Times New Roman" w:hAnsi="Times New Roman"/>
          <w:szCs w:val="21"/>
        </w:rPr>
      </w:pPr>
      <w:r w:rsidRPr="002F0565">
        <w:rPr>
          <w:rFonts w:ascii="Times New Roman" w:hAnsi="Times New Roman" w:cs="Times New Roman" w:hint="eastAsia"/>
          <w:szCs w:val="21"/>
        </w:rPr>
        <w:t xml:space="preserve">Rivera, L., </w:t>
      </w:r>
      <w:proofErr w:type="spellStart"/>
      <w:r w:rsidRPr="002F0565">
        <w:rPr>
          <w:rFonts w:ascii="Times New Roman" w:hAnsi="Times New Roman" w:cs="Times New Roman" w:hint="eastAsia"/>
          <w:szCs w:val="21"/>
        </w:rPr>
        <w:t>Sheffi</w:t>
      </w:r>
      <w:proofErr w:type="spellEnd"/>
      <w:r w:rsidRPr="002F0565">
        <w:rPr>
          <w:rFonts w:ascii="Times New Roman" w:hAnsi="Times New Roman" w:cs="Times New Roman" w:hint="eastAsia"/>
          <w:szCs w:val="21"/>
        </w:rPr>
        <w:t>, Y., Welsch, R., 2014. Logistics agglomeration in the US. Transportation Research Part A: Policy and Practice. 59, 222-238.</w:t>
      </w:r>
    </w:p>
    <w:p w14:paraId="54DAB24F" w14:textId="77777777" w:rsidR="00A81582" w:rsidRPr="002F0565" w:rsidRDefault="00A81582" w:rsidP="00A81582">
      <w:pPr>
        <w:ind w:left="420" w:hangingChars="200" w:hanging="420"/>
        <w:rPr>
          <w:rFonts w:ascii="Times New Roman" w:hAnsi="Times New Roman"/>
          <w:szCs w:val="21"/>
        </w:rPr>
      </w:pPr>
      <w:r w:rsidRPr="002F0565">
        <w:rPr>
          <w:rFonts w:ascii="Times New Roman" w:hAnsi="Times New Roman" w:cs="Times New Roman" w:hint="eastAsia"/>
          <w:szCs w:val="21"/>
        </w:rPr>
        <w:t>Ciccone, A., Hall, R., 1996. Productivity and the Density of Economic Activity. American Economic Review. 86 (1), 54-70.</w:t>
      </w:r>
    </w:p>
    <w:p w14:paraId="22D0DB66" w14:textId="77777777" w:rsidR="00A81582" w:rsidRPr="002F0565" w:rsidRDefault="00A81582" w:rsidP="00A81582">
      <w:pPr>
        <w:ind w:left="420" w:hangingChars="200" w:hanging="420"/>
        <w:rPr>
          <w:rFonts w:ascii="Times New Roman" w:hAnsi="Times New Roman"/>
          <w:szCs w:val="21"/>
        </w:rPr>
      </w:pPr>
      <w:r w:rsidRPr="002F0565">
        <w:rPr>
          <w:rFonts w:ascii="Times New Roman" w:hAnsi="Times New Roman" w:cs="Times New Roman" w:hint="eastAsia"/>
          <w:szCs w:val="21"/>
        </w:rPr>
        <w:t xml:space="preserve">Steijn, M.P., Koster, H.R., Van Oort, F.G., 2022. The dynamics of industry agglomeration: Evidence from 44 years of </w:t>
      </w:r>
      <w:proofErr w:type="spellStart"/>
      <w:r w:rsidRPr="002F0565">
        <w:rPr>
          <w:rFonts w:ascii="Times New Roman" w:hAnsi="Times New Roman" w:cs="Times New Roman" w:hint="eastAsia"/>
          <w:szCs w:val="21"/>
        </w:rPr>
        <w:t>coagglomeration</w:t>
      </w:r>
      <w:proofErr w:type="spellEnd"/>
      <w:r w:rsidRPr="002F0565">
        <w:rPr>
          <w:rFonts w:ascii="Times New Roman" w:hAnsi="Times New Roman" w:cs="Times New Roman" w:hint="eastAsia"/>
          <w:szCs w:val="21"/>
        </w:rPr>
        <w:t xml:space="preserve"> patterns. Journal of Urban Economics. 130, 103456.</w:t>
      </w:r>
    </w:p>
    <w:p w14:paraId="0D8112CB" w14:textId="77777777" w:rsidR="00A81582" w:rsidRPr="00242122" w:rsidRDefault="00A81582" w:rsidP="00A81582">
      <w:pPr>
        <w:ind w:left="420" w:hangingChars="200" w:hanging="420"/>
        <w:rPr>
          <w:rFonts w:ascii="Times New Roman" w:hAnsi="Times New Roman"/>
          <w:szCs w:val="21"/>
        </w:rPr>
      </w:pPr>
      <w:r w:rsidRPr="00242122">
        <w:rPr>
          <w:rFonts w:ascii="Times New Roman" w:hAnsi="Times New Roman" w:hint="eastAsia"/>
          <w:szCs w:val="21"/>
        </w:rPr>
        <w:t>Yang X, Feng Z, Chen Y. Evaluation and obstacle analysis of high-quality development in Yellow River Basin and Yangtze River Economic Belt, China[J]. Humanities and Social Sciences Communications, 2023, 10(1): 1-15.</w:t>
      </w:r>
    </w:p>
    <w:p w14:paraId="57D40CF1" w14:textId="77777777" w:rsidR="00A81582" w:rsidRPr="00242122" w:rsidRDefault="00A81582" w:rsidP="00A81582">
      <w:pPr>
        <w:ind w:left="420" w:hangingChars="200" w:hanging="420"/>
        <w:rPr>
          <w:rFonts w:ascii="Times New Roman" w:hAnsi="Times New Roman"/>
          <w:szCs w:val="21"/>
        </w:rPr>
      </w:pPr>
      <w:r w:rsidRPr="00242122">
        <w:rPr>
          <w:rFonts w:ascii="Times New Roman" w:hAnsi="Times New Roman" w:cs="Times New Roman" w:hint="eastAsia"/>
          <w:szCs w:val="21"/>
        </w:rPr>
        <w:t>Qu, X., Zhang, H., Bi, G., et al., 2022. Spatial Effects of the Land Supply Scale of Different Industrial Sectors on High-Quality Development in the Yangtze River Economic Belt. Land.11 (11), 1898.</w:t>
      </w:r>
    </w:p>
    <w:p w14:paraId="4A0D4686" w14:textId="77777777" w:rsidR="00785222" w:rsidRPr="00785222" w:rsidRDefault="00785222" w:rsidP="00785222">
      <w:pPr>
        <w:rPr>
          <w:rFonts w:hint="eastAsia"/>
        </w:rPr>
      </w:pPr>
    </w:p>
    <w:sectPr w:rsidR="00785222" w:rsidRPr="0078522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EB93FF" w14:textId="77777777" w:rsidR="00AD3538" w:rsidRDefault="00AD3538" w:rsidP="003C6FB9">
      <w:pPr>
        <w:rPr>
          <w:rFonts w:hint="eastAsia"/>
        </w:rPr>
      </w:pPr>
      <w:r>
        <w:separator/>
      </w:r>
    </w:p>
  </w:endnote>
  <w:endnote w:type="continuationSeparator" w:id="0">
    <w:p w14:paraId="20EC15A8" w14:textId="77777777" w:rsidR="00AD3538" w:rsidRDefault="00AD3538" w:rsidP="003C6FB9">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A5C518" w14:textId="77777777" w:rsidR="00AD3538" w:rsidRDefault="00AD3538" w:rsidP="003C6FB9">
      <w:pPr>
        <w:rPr>
          <w:rFonts w:hint="eastAsia"/>
        </w:rPr>
      </w:pPr>
      <w:r>
        <w:separator/>
      </w:r>
    </w:p>
  </w:footnote>
  <w:footnote w:type="continuationSeparator" w:id="0">
    <w:p w14:paraId="106F4D50" w14:textId="77777777" w:rsidR="00AD3538" w:rsidRDefault="00AD3538" w:rsidP="003C6FB9">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FB9"/>
    <w:rsid w:val="000A47B5"/>
    <w:rsid w:val="00123AE9"/>
    <w:rsid w:val="003C6FB9"/>
    <w:rsid w:val="0040437F"/>
    <w:rsid w:val="0053321A"/>
    <w:rsid w:val="00693801"/>
    <w:rsid w:val="00785222"/>
    <w:rsid w:val="007936A6"/>
    <w:rsid w:val="008D468C"/>
    <w:rsid w:val="008F36F4"/>
    <w:rsid w:val="00A36796"/>
    <w:rsid w:val="00A81582"/>
    <w:rsid w:val="00AD3538"/>
    <w:rsid w:val="00B03A81"/>
    <w:rsid w:val="00B42390"/>
    <w:rsid w:val="00C20B81"/>
    <w:rsid w:val="00DD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698B2D"/>
  <w15:chartTrackingRefBased/>
  <w15:docId w15:val="{FF394A1F-DE2D-4F2C-9FE6-6F3AAD3F2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C6FB9"/>
    <w:pPr>
      <w:widowControl w:val="0"/>
      <w:jc w:val="both"/>
    </w:pPr>
    <w:rPr>
      <w:szCs w:val="24"/>
    </w:rPr>
  </w:style>
  <w:style w:type="paragraph" w:styleId="1">
    <w:name w:val="heading 1"/>
    <w:basedOn w:val="a"/>
    <w:next w:val="a"/>
    <w:link w:val="10"/>
    <w:uiPriority w:val="9"/>
    <w:qFormat/>
    <w:rsid w:val="003C6FB9"/>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3C6FB9"/>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3C6FB9"/>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3C6FB9"/>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3C6FB9"/>
    <w:pPr>
      <w:keepNext/>
      <w:keepLines/>
      <w:spacing w:before="80" w:after="40"/>
      <w:outlineLvl w:val="4"/>
    </w:pPr>
    <w:rPr>
      <w:rFonts w:cstheme="majorBidi"/>
      <w:color w:val="0F4761" w:themeColor="accent1" w:themeShade="BF"/>
      <w:sz w:val="24"/>
    </w:rPr>
  </w:style>
  <w:style w:type="paragraph" w:styleId="6">
    <w:name w:val="heading 6"/>
    <w:basedOn w:val="a"/>
    <w:next w:val="a"/>
    <w:link w:val="60"/>
    <w:uiPriority w:val="9"/>
    <w:semiHidden/>
    <w:unhideWhenUsed/>
    <w:qFormat/>
    <w:rsid w:val="003C6FB9"/>
    <w:pPr>
      <w:keepNext/>
      <w:keepLines/>
      <w:spacing w:before="40"/>
      <w:outlineLvl w:val="5"/>
    </w:pPr>
    <w:rPr>
      <w:rFonts w:cstheme="majorBidi"/>
      <w:b/>
      <w:bCs/>
      <w:color w:val="0F4761" w:themeColor="accent1" w:themeShade="BF"/>
      <w:szCs w:val="22"/>
    </w:rPr>
  </w:style>
  <w:style w:type="paragraph" w:styleId="7">
    <w:name w:val="heading 7"/>
    <w:basedOn w:val="a"/>
    <w:next w:val="a"/>
    <w:link w:val="70"/>
    <w:uiPriority w:val="9"/>
    <w:semiHidden/>
    <w:unhideWhenUsed/>
    <w:qFormat/>
    <w:rsid w:val="003C6FB9"/>
    <w:pPr>
      <w:keepNext/>
      <w:keepLines/>
      <w:spacing w:before="40"/>
      <w:outlineLvl w:val="6"/>
    </w:pPr>
    <w:rPr>
      <w:rFonts w:cstheme="majorBidi"/>
      <w:b/>
      <w:bCs/>
      <w:color w:val="595959" w:themeColor="text1" w:themeTint="A6"/>
      <w:szCs w:val="22"/>
    </w:rPr>
  </w:style>
  <w:style w:type="paragraph" w:styleId="8">
    <w:name w:val="heading 8"/>
    <w:basedOn w:val="a"/>
    <w:next w:val="a"/>
    <w:link w:val="80"/>
    <w:uiPriority w:val="9"/>
    <w:semiHidden/>
    <w:unhideWhenUsed/>
    <w:qFormat/>
    <w:rsid w:val="003C6FB9"/>
    <w:pPr>
      <w:keepNext/>
      <w:keepLines/>
      <w:outlineLvl w:val="7"/>
    </w:pPr>
    <w:rPr>
      <w:rFonts w:cstheme="majorBidi"/>
      <w:color w:val="595959" w:themeColor="text1" w:themeTint="A6"/>
      <w:szCs w:val="22"/>
    </w:rPr>
  </w:style>
  <w:style w:type="paragraph" w:styleId="9">
    <w:name w:val="heading 9"/>
    <w:basedOn w:val="a"/>
    <w:next w:val="a"/>
    <w:link w:val="90"/>
    <w:uiPriority w:val="9"/>
    <w:semiHidden/>
    <w:unhideWhenUsed/>
    <w:qFormat/>
    <w:rsid w:val="003C6FB9"/>
    <w:pPr>
      <w:keepNext/>
      <w:keepLines/>
      <w:outlineLvl w:val="8"/>
    </w:pPr>
    <w:rPr>
      <w:rFonts w:eastAsiaTheme="majorEastAsia" w:cstheme="majorBidi"/>
      <w:color w:val="595959" w:themeColor="text1" w:themeTint="A6"/>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3C6FB9"/>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3C6FB9"/>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3C6FB9"/>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3C6FB9"/>
    <w:rPr>
      <w:rFonts w:cstheme="majorBidi"/>
      <w:color w:val="0F4761" w:themeColor="accent1" w:themeShade="BF"/>
      <w:sz w:val="28"/>
      <w:szCs w:val="28"/>
    </w:rPr>
  </w:style>
  <w:style w:type="character" w:customStyle="1" w:styleId="50">
    <w:name w:val="标题 5 字符"/>
    <w:basedOn w:val="a0"/>
    <w:link w:val="5"/>
    <w:uiPriority w:val="9"/>
    <w:semiHidden/>
    <w:rsid w:val="003C6FB9"/>
    <w:rPr>
      <w:rFonts w:cstheme="majorBidi"/>
      <w:color w:val="0F4761" w:themeColor="accent1" w:themeShade="BF"/>
      <w:sz w:val="24"/>
      <w:szCs w:val="24"/>
    </w:rPr>
  </w:style>
  <w:style w:type="character" w:customStyle="1" w:styleId="60">
    <w:name w:val="标题 6 字符"/>
    <w:basedOn w:val="a0"/>
    <w:link w:val="6"/>
    <w:uiPriority w:val="9"/>
    <w:semiHidden/>
    <w:rsid w:val="003C6FB9"/>
    <w:rPr>
      <w:rFonts w:cstheme="majorBidi"/>
      <w:b/>
      <w:bCs/>
      <w:color w:val="0F4761" w:themeColor="accent1" w:themeShade="BF"/>
    </w:rPr>
  </w:style>
  <w:style w:type="character" w:customStyle="1" w:styleId="70">
    <w:name w:val="标题 7 字符"/>
    <w:basedOn w:val="a0"/>
    <w:link w:val="7"/>
    <w:uiPriority w:val="9"/>
    <w:semiHidden/>
    <w:rsid w:val="003C6FB9"/>
    <w:rPr>
      <w:rFonts w:cstheme="majorBidi"/>
      <w:b/>
      <w:bCs/>
      <w:color w:val="595959" w:themeColor="text1" w:themeTint="A6"/>
    </w:rPr>
  </w:style>
  <w:style w:type="character" w:customStyle="1" w:styleId="80">
    <w:name w:val="标题 8 字符"/>
    <w:basedOn w:val="a0"/>
    <w:link w:val="8"/>
    <w:uiPriority w:val="9"/>
    <w:semiHidden/>
    <w:rsid w:val="003C6FB9"/>
    <w:rPr>
      <w:rFonts w:cstheme="majorBidi"/>
      <w:color w:val="595959" w:themeColor="text1" w:themeTint="A6"/>
    </w:rPr>
  </w:style>
  <w:style w:type="character" w:customStyle="1" w:styleId="90">
    <w:name w:val="标题 9 字符"/>
    <w:basedOn w:val="a0"/>
    <w:link w:val="9"/>
    <w:uiPriority w:val="9"/>
    <w:semiHidden/>
    <w:rsid w:val="003C6FB9"/>
    <w:rPr>
      <w:rFonts w:eastAsiaTheme="majorEastAsia" w:cstheme="majorBidi"/>
      <w:color w:val="595959" w:themeColor="text1" w:themeTint="A6"/>
    </w:rPr>
  </w:style>
  <w:style w:type="paragraph" w:styleId="a3">
    <w:name w:val="Title"/>
    <w:basedOn w:val="a"/>
    <w:next w:val="a"/>
    <w:link w:val="a4"/>
    <w:uiPriority w:val="10"/>
    <w:qFormat/>
    <w:rsid w:val="003C6FB9"/>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3C6FB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C6FB9"/>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3C6FB9"/>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3C6FB9"/>
    <w:pPr>
      <w:spacing w:before="160" w:after="160"/>
      <w:jc w:val="center"/>
    </w:pPr>
    <w:rPr>
      <w:i/>
      <w:iCs/>
      <w:color w:val="404040" w:themeColor="text1" w:themeTint="BF"/>
      <w:szCs w:val="22"/>
    </w:rPr>
  </w:style>
  <w:style w:type="character" w:customStyle="1" w:styleId="a8">
    <w:name w:val="引用 字符"/>
    <w:basedOn w:val="a0"/>
    <w:link w:val="a7"/>
    <w:uiPriority w:val="29"/>
    <w:rsid w:val="003C6FB9"/>
    <w:rPr>
      <w:i/>
      <w:iCs/>
      <w:color w:val="404040" w:themeColor="text1" w:themeTint="BF"/>
    </w:rPr>
  </w:style>
  <w:style w:type="paragraph" w:styleId="a9">
    <w:name w:val="List Paragraph"/>
    <w:basedOn w:val="a"/>
    <w:uiPriority w:val="34"/>
    <w:qFormat/>
    <w:rsid w:val="003C6FB9"/>
    <w:pPr>
      <w:ind w:left="720"/>
      <w:contextualSpacing/>
    </w:pPr>
    <w:rPr>
      <w:szCs w:val="22"/>
    </w:rPr>
  </w:style>
  <w:style w:type="character" w:styleId="aa">
    <w:name w:val="Intense Emphasis"/>
    <w:basedOn w:val="a0"/>
    <w:uiPriority w:val="21"/>
    <w:qFormat/>
    <w:rsid w:val="003C6FB9"/>
    <w:rPr>
      <w:i/>
      <w:iCs/>
      <w:color w:val="0F4761" w:themeColor="accent1" w:themeShade="BF"/>
    </w:rPr>
  </w:style>
  <w:style w:type="paragraph" w:styleId="ab">
    <w:name w:val="Intense Quote"/>
    <w:basedOn w:val="a"/>
    <w:next w:val="a"/>
    <w:link w:val="ac"/>
    <w:uiPriority w:val="30"/>
    <w:qFormat/>
    <w:rsid w:val="003C6FB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szCs w:val="22"/>
    </w:rPr>
  </w:style>
  <w:style w:type="character" w:customStyle="1" w:styleId="ac">
    <w:name w:val="明显引用 字符"/>
    <w:basedOn w:val="a0"/>
    <w:link w:val="ab"/>
    <w:uiPriority w:val="30"/>
    <w:rsid w:val="003C6FB9"/>
    <w:rPr>
      <w:i/>
      <w:iCs/>
      <w:color w:val="0F4761" w:themeColor="accent1" w:themeShade="BF"/>
    </w:rPr>
  </w:style>
  <w:style w:type="character" w:styleId="ad">
    <w:name w:val="Intense Reference"/>
    <w:basedOn w:val="a0"/>
    <w:uiPriority w:val="32"/>
    <w:qFormat/>
    <w:rsid w:val="003C6FB9"/>
    <w:rPr>
      <w:b/>
      <w:bCs/>
      <w:smallCaps/>
      <w:color w:val="0F4761" w:themeColor="accent1" w:themeShade="BF"/>
      <w:spacing w:val="5"/>
    </w:rPr>
  </w:style>
  <w:style w:type="paragraph" w:styleId="ae">
    <w:name w:val="footnote text"/>
    <w:basedOn w:val="a"/>
    <w:link w:val="af"/>
    <w:unhideWhenUsed/>
    <w:qFormat/>
    <w:rsid w:val="003C6FB9"/>
    <w:pPr>
      <w:snapToGrid w:val="0"/>
      <w:jc w:val="left"/>
    </w:pPr>
    <w:rPr>
      <w:rFonts w:ascii="Times New Roman" w:eastAsia="宋体" w:hAnsi="Times New Roman" w:cs="Times New Roman"/>
      <w:sz w:val="18"/>
      <w:szCs w:val="18"/>
    </w:rPr>
  </w:style>
  <w:style w:type="character" w:customStyle="1" w:styleId="af">
    <w:name w:val="脚注文本 字符"/>
    <w:basedOn w:val="a0"/>
    <w:link w:val="ae"/>
    <w:qFormat/>
    <w:rsid w:val="003C6FB9"/>
    <w:rPr>
      <w:rFonts w:ascii="Times New Roman" w:eastAsia="宋体" w:hAnsi="Times New Roman" w:cs="Times New Roman"/>
      <w:sz w:val="18"/>
      <w:szCs w:val="18"/>
    </w:rPr>
  </w:style>
  <w:style w:type="character" w:styleId="af0">
    <w:name w:val="footnote reference"/>
    <w:qFormat/>
    <w:rsid w:val="003C6FB9"/>
    <w:rPr>
      <w:vertAlign w:val="superscript"/>
    </w:rPr>
  </w:style>
  <w:style w:type="paragraph" w:styleId="af1">
    <w:name w:val="header"/>
    <w:basedOn w:val="a"/>
    <w:link w:val="af2"/>
    <w:uiPriority w:val="99"/>
    <w:unhideWhenUsed/>
    <w:rsid w:val="00DD28B3"/>
    <w:pPr>
      <w:tabs>
        <w:tab w:val="center" w:pos="4153"/>
        <w:tab w:val="right" w:pos="8306"/>
      </w:tabs>
      <w:snapToGrid w:val="0"/>
      <w:jc w:val="center"/>
    </w:pPr>
    <w:rPr>
      <w:sz w:val="18"/>
      <w:szCs w:val="18"/>
    </w:rPr>
  </w:style>
  <w:style w:type="character" w:customStyle="1" w:styleId="af2">
    <w:name w:val="页眉 字符"/>
    <w:basedOn w:val="a0"/>
    <w:link w:val="af1"/>
    <w:uiPriority w:val="99"/>
    <w:rsid w:val="00DD28B3"/>
    <w:rPr>
      <w:sz w:val="18"/>
      <w:szCs w:val="18"/>
    </w:rPr>
  </w:style>
  <w:style w:type="paragraph" w:styleId="af3">
    <w:name w:val="footer"/>
    <w:basedOn w:val="a"/>
    <w:link w:val="af4"/>
    <w:uiPriority w:val="99"/>
    <w:unhideWhenUsed/>
    <w:rsid w:val="00DD28B3"/>
    <w:pPr>
      <w:tabs>
        <w:tab w:val="center" w:pos="4153"/>
        <w:tab w:val="right" w:pos="8306"/>
      </w:tabs>
      <w:snapToGrid w:val="0"/>
      <w:jc w:val="left"/>
    </w:pPr>
    <w:rPr>
      <w:sz w:val="18"/>
      <w:szCs w:val="18"/>
    </w:rPr>
  </w:style>
  <w:style w:type="character" w:customStyle="1" w:styleId="af4">
    <w:name w:val="页脚 字符"/>
    <w:basedOn w:val="a0"/>
    <w:link w:val="af3"/>
    <w:uiPriority w:val="99"/>
    <w:rsid w:val="00DD28B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3</Pages>
  <Words>1290</Words>
  <Characters>7290</Characters>
  <Application>Microsoft Office Word</Application>
  <DocSecurity>0</DocSecurity>
  <Lines>197</Lines>
  <Paragraphs>119</Paragraphs>
  <ScaleCrop>false</ScaleCrop>
  <Company/>
  <LinksUpToDate>false</LinksUpToDate>
  <CharactersWithSpaces>8461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楠 周</dc:creator>
  <cp:keywords/>
  <dc:description/>
  <cp:lastModifiedBy>楠 周</cp:lastModifiedBy>
  <cp:revision>6</cp:revision>
  <dcterms:created xsi:type="dcterms:W3CDTF">2026-04-25T02:33:00Z</dcterms:created>
  <dcterms:modified xsi:type="dcterms:W3CDTF">2026-04-26T14:34:00Z</dcterms:modified>
</cp:coreProperties>
</file>